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57E" w:rsidRDefault="00FF29E6" w:rsidP="00FF29E6">
      <w:pPr>
        <w:rPr>
          <w:b/>
          <w:sz w:val="28"/>
          <w:szCs w:val="28"/>
          <w:u w:val="single"/>
        </w:rPr>
      </w:pPr>
      <w:r>
        <w:rPr>
          <w:b/>
          <w:sz w:val="28"/>
          <w:szCs w:val="28"/>
          <w:u w:val="single"/>
        </w:rPr>
        <w:t>BAILDON MEDICAL PRACTICE PATIENT PARTICIPATION GROUP</w:t>
      </w:r>
    </w:p>
    <w:p w:rsidR="00BF76C4" w:rsidRDefault="00BF76C4" w:rsidP="00BF76C4">
      <w:pPr>
        <w:jc w:val="center"/>
        <w:rPr>
          <w:b/>
          <w:sz w:val="28"/>
          <w:szCs w:val="28"/>
          <w:u w:val="single"/>
        </w:rPr>
      </w:pPr>
    </w:p>
    <w:p w:rsidR="00BF76C4" w:rsidRPr="002A3B3A" w:rsidRDefault="00BF76C4" w:rsidP="00BF76C4">
      <w:pPr>
        <w:rPr>
          <w:b/>
          <w:u w:val="single"/>
        </w:rPr>
      </w:pPr>
      <w:proofErr w:type="gramStart"/>
      <w:r w:rsidRPr="002A3B3A">
        <w:rPr>
          <w:b/>
          <w:u w:val="single"/>
        </w:rPr>
        <w:t>Minutes of PPG Full Group Meeting 2</w:t>
      </w:r>
      <w:r w:rsidRPr="002A3B3A">
        <w:rPr>
          <w:b/>
          <w:u w:val="single"/>
          <w:vertAlign w:val="superscript"/>
        </w:rPr>
        <w:t>nd</w:t>
      </w:r>
      <w:r w:rsidRPr="002A3B3A">
        <w:rPr>
          <w:b/>
          <w:u w:val="single"/>
        </w:rPr>
        <w:t xml:space="preserve"> January 2020 5.00-6.20 p.m.</w:t>
      </w:r>
      <w:proofErr w:type="gramEnd"/>
    </w:p>
    <w:p w:rsidR="00BF76C4" w:rsidRDefault="00BF76C4" w:rsidP="00BF76C4">
      <w:pPr>
        <w:rPr>
          <w:b/>
        </w:rPr>
      </w:pPr>
    </w:p>
    <w:p w:rsidR="00B530E7" w:rsidRDefault="00BF76C4" w:rsidP="00BF76C4">
      <w:r>
        <w:rPr>
          <w:b/>
        </w:rPr>
        <w:t xml:space="preserve">Present: </w:t>
      </w:r>
      <w:r>
        <w:t xml:space="preserve">Janet Davidson (JD), Jean Robinson (JR), </w:t>
      </w:r>
      <w:r w:rsidR="00B530E7">
        <w:t>Sister Joanne Bibby (JB), Dr. Simon Chambers (SC), Practice Manager John Bromley (</w:t>
      </w:r>
      <w:proofErr w:type="spellStart"/>
      <w:r w:rsidR="00B530E7">
        <w:t>JBr</w:t>
      </w:r>
      <w:proofErr w:type="spellEnd"/>
      <w:r w:rsidR="00B530E7">
        <w:t>).</w:t>
      </w:r>
    </w:p>
    <w:p w:rsidR="00B530E7" w:rsidRDefault="00B530E7" w:rsidP="00BF76C4">
      <w:r>
        <w:rPr>
          <w:b/>
        </w:rPr>
        <w:t xml:space="preserve">Apologies: </w:t>
      </w:r>
      <w:r>
        <w:t>Jane Johnson, Dr. Stephen Patterson</w:t>
      </w:r>
    </w:p>
    <w:p w:rsidR="00B530E7" w:rsidRDefault="00B530E7" w:rsidP="00BF76C4">
      <w:r>
        <w:rPr>
          <w:b/>
        </w:rPr>
        <w:t xml:space="preserve">Absent:  </w:t>
      </w:r>
      <w:r>
        <w:t>Kevin Holland</w:t>
      </w:r>
    </w:p>
    <w:p w:rsidR="00B530E7" w:rsidRDefault="00B530E7" w:rsidP="00BF76C4"/>
    <w:p w:rsidR="00B530E7" w:rsidRPr="002A3B3A" w:rsidRDefault="00554C1F" w:rsidP="00BF76C4">
      <w:pPr>
        <w:rPr>
          <w:b/>
          <w:u w:val="single"/>
        </w:rPr>
      </w:pPr>
      <w:r w:rsidRPr="002A3B3A">
        <w:rPr>
          <w:b/>
          <w:u w:val="single"/>
        </w:rPr>
        <w:t>Approval of Minutes of Meeting on 4</w:t>
      </w:r>
      <w:r w:rsidRPr="002A3B3A">
        <w:rPr>
          <w:b/>
          <w:u w:val="single"/>
          <w:vertAlign w:val="superscript"/>
        </w:rPr>
        <w:t>th</w:t>
      </w:r>
      <w:r w:rsidRPr="002A3B3A">
        <w:rPr>
          <w:b/>
          <w:u w:val="single"/>
        </w:rPr>
        <w:t xml:space="preserve"> September 2019</w:t>
      </w:r>
    </w:p>
    <w:p w:rsidR="00554C1F" w:rsidRDefault="00554C1F" w:rsidP="00BF76C4">
      <w:r>
        <w:t>Approval was proposed by John Bromley and seconded by Janet Davidson.</w:t>
      </w:r>
    </w:p>
    <w:p w:rsidR="00554C1F" w:rsidRDefault="00554C1F" w:rsidP="00BF76C4"/>
    <w:p w:rsidR="00554C1F" w:rsidRPr="002A3B3A" w:rsidRDefault="00554C1F" w:rsidP="00BF76C4">
      <w:pPr>
        <w:rPr>
          <w:b/>
          <w:u w:val="single"/>
        </w:rPr>
      </w:pPr>
      <w:r w:rsidRPr="002A3B3A">
        <w:rPr>
          <w:b/>
          <w:u w:val="single"/>
        </w:rPr>
        <w:t>Matters Arising</w:t>
      </w:r>
    </w:p>
    <w:p w:rsidR="00554C1F" w:rsidRDefault="002A70FE" w:rsidP="002A70FE">
      <w:pPr>
        <w:pStyle w:val="ListParagraph"/>
        <w:numPr>
          <w:ilvl w:val="0"/>
          <w:numId w:val="2"/>
        </w:numPr>
      </w:pPr>
      <w:r>
        <w:t xml:space="preserve">No further decision on the appointment of a Chair was made.  </w:t>
      </w:r>
      <w:proofErr w:type="spellStart"/>
      <w:r>
        <w:t>JBr</w:t>
      </w:r>
      <w:proofErr w:type="spellEnd"/>
      <w:r>
        <w:t xml:space="preserve"> chaired this meeting.</w:t>
      </w:r>
    </w:p>
    <w:p w:rsidR="002A70FE" w:rsidRDefault="002A70FE" w:rsidP="002A70FE"/>
    <w:p w:rsidR="002A70FE" w:rsidRPr="002A3B3A" w:rsidRDefault="002A70FE" w:rsidP="002A70FE">
      <w:pPr>
        <w:rPr>
          <w:b/>
          <w:u w:val="single"/>
        </w:rPr>
      </w:pPr>
      <w:r w:rsidRPr="002A3B3A">
        <w:rPr>
          <w:b/>
          <w:u w:val="single"/>
        </w:rPr>
        <w:t>Agenda</w:t>
      </w:r>
    </w:p>
    <w:p w:rsidR="002A70FE" w:rsidRPr="002A70FE" w:rsidRDefault="002A70FE" w:rsidP="002A70FE">
      <w:pPr>
        <w:pStyle w:val="ListParagraph"/>
        <w:numPr>
          <w:ilvl w:val="0"/>
          <w:numId w:val="4"/>
        </w:numPr>
      </w:pPr>
      <w:r w:rsidRPr="002A70FE">
        <w:t>Practice News (</w:t>
      </w:r>
      <w:proofErr w:type="spellStart"/>
      <w:r w:rsidRPr="002A70FE">
        <w:t>JBr</w:t>
      </w:r>
      <w:proofErr w:type="spellEnd"/>
      <w:r w:rsidRPr="002A70FE">
        <w:t>)</w:t>
      </w:r>
    </w:p>
    <w:p w:rsidR="002A70FE" w:rsidRDefault="002A70FE" w:rsidP="002A70FE">
      <w:pPr>
        <w:pStyle w:val="ListParagraph"/>
        <w:numPr>
          <w:ilvl w:val="0"/>
          <w:numId w:val="4"/>
        </w:numPr>
      </w:pPr>
      <w:r w:rsidRPr="002A70FE">
        <w:t>Recruitment of new members</w:t>
      </w:r>
    </w:p>
    <w:p w:rsidR="00FF0B5C" w:rsidRDefault="00FF0B5C" w:rsidP="00FF0B5C"/>
    <w:p w:rsidR="00FF0B5C" w:rsidRDefault="00FF0B5C" w:rsidP="00FF0B5C">
      <w:proofErr w:type="gramStart"/>
      <w:r>
        <w:t>NB  As</w:t>
      </w:r>
      <w:proofErr w:type="gramEnd"/>
      <w:r>
        <w:t xml:space="preserve"> an aid to PPG members when reading the following minutes, proposed</w:t>
      </w:r>
    </w:p>
    <w:p w:rsidR="00FF0B5C" w:rsidRDefault="00FF0B5C" w:rsidP="00FF0B5C">
      <w:r>
        <w:t xml:space="preserve">        </w:t>
      </w:r>
      <w:proofErr w:type="gramStart"/>
      <w:r>
        <w:t>actions</w:t>
      </w:r>
      <w:proofErr w:type="gramEnd"/>
      <w:r>
        <w:t xml:space="preserve"> have been shown in italics  and underlined, with initials of members </w:t>
      </w:r>
    </w:p>
    <w:p w:rsidR="00FF0B5C" w:rsidRPr="002A70FE" w:rsidRDefault="00FF0B5C" w:rsidP="00FF0B5C">
      <w:r>
        <w:t xml:space="preserve">        </w:t>
      </w:r>
      <w:proofErr w:type="gramStart"/>
      <w:r>
        <w:t>involved</w:t>
      </w:r>
      <w:proofErr w:type="gramEnd"/>
      <w:r>
        <w:t xml:space="preserve"> being shown in bold text.</w:t>
      </w:r>
    </w:p>
    <w:p w:rsidR="002A70FE" w:rsidRDefault="002A70FE" w:rsidP="002A70FE"/>
    <w:p w:rsidR="002A70FE" w:rsidRPr="002A3B3A" w:rsidRDefault="002A3B3A" w:rsidP="002A70FE">
      <w:pPr>
        <w:rPr>
          <w:b/>
          <w:u w:val="single"/>
        </w:rPr>
      </w:pPr>
      <w:r>
        <w:rPr>
          <w:b/>
          <w:u w:val="single"/>
        </w:rPr>
        <w:t xml:space="preserve">1.  </w:t>
      </w:r>
      <w:r w:rsidR="002A70FE" w:rsidRPr="002A3B3A">
        <w:rPr>
          <w:b/>
          <w:u w:val="single"/>
        </w:rPr>
        <w:t>Practice News</w:t>
      </w:r>
    </w:p>
    <w:p w:rsidR="002A70FE" w:rsidRPr="00F42DCB" w:rsidRDefault="002A70FE" w:rsidP="002A70FE">
      <w:pPr>
        <w:pStyle w:val="ListParagraph"/>
        <w:numPr>
          <w:ilvl w:val="0"/>
          <w:numId w:val="2"/>
        </w:numPr>
        <w:rPr>
          <w:b/>
        </w:rPr>
      </w:pPr>
      <w:r>
        <w:t xml:space="preserve">A </w:t>
      </w:r>
      <w:r w:rsidRPr="00F42DCB">
        <w:rPr>
          <w:u w:val="single"/>
        </w:rPr>
        <w:t>practice-based Clinical Pharmacist</w:t>
      </w:r>
      <w:r>
        <w:t xml:space="preserve"> is joining in February.  There will be 2 Clinical Pharmacists across the five practices in the Bingley Bubble.  The person based in Baildon will also work in Bingley.  The role helps to free up GP time and</w:t>
      </w:r>
      <w:r w:rsidR="0022320D">
        <w:t xml:space="preserve"> involves</w:t>
      </w:r>
      <w:r w:rsidR="00864B3A">
        <w:t xml:space="preserve"> duties including </w:t>
      </w:r>
      <w:r>
        <w:t>prescription review</w:t>
      </w:r>
      <w:r w:rsidR="00864B3A">
        <w:t>s</w:t>
      </w:r>
      <w:r>
        <w:t>, th</w:t>
      </w:r>
      <w:r w:rsidR="00864B3A">
        <w:t>e production of discharge slips and</w:t>
      </w:r>
      <w:r>
        <w:t xml:space="preserve"> arrangements for changes of medication.</w:t>
      </w:r>
    </w:p>
    <w:p w:rsidR="00F42DCB" w:rsidRPr="002A70FE" w:rsidRDefault="00F42DCB" w:rsidP="00F42DCB">
      <w:pPr>
        <w:pStyle w:val="ListParagraph"/>
        <w:ind w:left="360"/>
        <w:rPr>
          <w:b/>
        </w:rPr>
      </w:pPr>
    </w:p>
    <w:p w:rsidR="002A70FE" w:rsidRPr="00864B3A" w:rsidRDefault="002A70FE" w:rsidP="002A70FE">
      <w:pPr>
        <w:pStyle w:val="ListParagraph"/>
        <w:numPr>
          <w:ilvl w:val="0"/>
          <w:numId w:val="2"/>
        </w:numPr>
        <w:rPr>
          <w:b/>
        </w:rPr>
      </w:pPr>
      <w:r>
        <w:t xml:space="preserve">A new </w:t>
      </w:r>
      <w:r w:rsidRPr="00F42DCB">
        <w:rPr>
          <w:u w:val="single"/>
        </w:rPr>
        <w:t>Community Matron</w:t>
      </w:r>
      <w:r w:rsidR="00BB0475">
        <w:t xml:space="preserve"> is joining the practice following the promotion of the previous post hold</w:t>
      </w:r>
      <w:r w:rsidR="00F42DCB">
        <w:t>er.  The role involves provision</w:t>
      </w:r>
      <w:r w:rsidR="0022320D">
        <w:t xml:space="preserve"> support for GPs in several</w:t>
      </w:r>
      <w:r w:rsidR="00BB0475">
        <w:t xml:space="preserve"> aspects including responsibility for visits to care and nursing homes, support for severe and moderately frail patients, occupational health, </w:t>
      </w:r>
      <w:r w:rsidR="00F42DCB">
        <w:t xml:space="preserve">and </w:t>
      </w:r>
      <w:r w:rsidR="00BB0475">
        <w:t>the enabling of patients to remain at home rather than be admitted to hospital</w:t>
      </w:r>
      <w:r w:rsidR="00F42DCB">
        <w:t>.  Frail patients are seen once a year to help ensure every aspect of care is in order.</w:t>
      </w:r>
    </w:p>
    <w:p w:rsidR="00864B3A" w:rsidRPr="00864B3A" w:rsidRDefault="00864B3A" w:rsidP="00864B3A">
      <w:pPr>
        <w:rPr>
          <w:b/>
        </w:rPr>
      </w:pPr>
    </w:p>
    <w:p w:rsidR="00F42DCB" w:rsidRPr="001313CD" w:rsidRDefault="00F42DCB" w:rsidP="00F42DCB">
      <w:pPr>
        <w:ind w:left="360"/>
        <w:rPr>
          <w:u w:val="single"/>
        </w:rPr>
      </w:pPr>
      <w:r>
        <w:t xml:space="preserve">JD asked whether the role of Community Matron was known about in general by patients of the practice in order that it could be requested by patients or their families.  The response was that some may and others may not know, but that patients were clinically referred to the Community Matron.  </w:t>
      </w:r>
      <w:r w:rsidR="00864B3A" w:rsidRPr="001313CD">
        <w:rPr>
          <w:i/>
          <w:u w:val="single"/>
        </w:rPr>
        <w:t>There was some discussion</w:t>
      </w:r>
      <w:r w:rsidRPr="001313CD">
        <w:rPr>
          <w:i/>
          <w:u w:val="single"/>
        </w:rPr>
        <w:t xml:space="preserve"> between</w:t>
      </w:r>
      <w:r w:rsidRPr="00F938C9">
        <w:rPr>
          <w:b/>
          <w:i/>
          <w:u w:val="single"/>
        </w:rPr>
        <w:t xml:space="preserve"> SC and </w:t>
      </w:r>
      <w:proofErr w:type="spellStart"/>
      <w:r w:rsidRPr="00F938C9">
        <w:rPr>
          <w:b/>
          <w:i/>
          <w:u w:val="single"/>
        </w:rPr>
        <w:t>JBr</w:t>
      </w:r>
      <w:proofErr w:type="spellEnd"/>
      <w:r w:rsidRPr="001313CD">
        <w:rPr>
          <w:i/>
          <w:u w:val="single"/>
        </w:rPr>
        <w:t xml:space="preserve"> around whether some work could be done to help prevent any needy patients from </w:t>
      </w:r>
      <w:r w:rsidR="00F938C9">
        <w:rPr>
          <w:i/>
          <w:u w:val="single"/>
        </w:rPr>
        <w:t>‘</w:t>
      </w:r>
      <w:r w:rsidRPr="001313CD">
        <w:rPr>
          <w:i/>
          <w:u w:val="single"/>
        </w:rPr>
        <w:t>slipping through the net</w:t>
      </w:r>
      <w:r w:rsidR="00F938C9">
        <w:rPr>
          <w:i/>
          <w:u w:val="single"/>
        </w:rPr>
        <w:t>’</w:t>
      </w:r>
      <w:r w:rsidRPr="001313CD">
        <w:rPr>
          <w:i/>
          <w:u w:val="single"/>
        </w:rPr>
        <w:t>.</w:t>
      </w:r>
      <w:r w:rsidR="006E03D6">
        <w:rPr>
          <w:i/>
          <w:u w:val="single"/>
        </w:rPr>
        <w:t xml:space="preserve">  This could possibly</w:t>
      </w:r>
      <w:r w:rsidR="00F938C9">
        <w:rPr>
          <w:i/>
          <w:u w:val="single"/>
        </w:rPr>
        <w:t xml:space="preserve"> be discussed at </w:t>
      </w:r>
      <w:r w:rsidR="00F938C9" w:rsidRPr="006E03D6">
        <w:rPr>
          <w:b/>
          <w:i/>
          <w:u w:val="single"/>
        </w:rPr>
        <w:t>Practice level</w:t>
      </w:r>
      <w:r w:rsidR="00F938C9">
        <w:rPr>
          <w:i/>
          <w:u w:val="single"/>
        </w:rPr>
        <w:t>.</w:t>
      </w:r>
    </w:p>
    <w:p w:rsidR="00864B3A" w:rsidRDefault="00864B3A" w:rsidP="00864B3A"/>
    <w:p w:rsidR="00864B3A" w:rsidRPr="00864B3A" w:rsidRDefault="00864B3A" w:rsidP="00864B3A">
      <w:pPr>
        <w:pStyle w:val="ListParagraph"/>
        <w:numPr>
          <w:ilvl w:val="0"/>
          <w:numId w:val="6"/>
        </w:numPr>
        <w:rPr>
          <w:u w:val="single"/>
        </w:rPr>
      </w:pPr>
      <w:r w:rsidRPr="00864B3A">
        <w:rPr>
          <w:u w:val="single"/>
        </w:rPr>
        <w:lastRenderedPageBreak/>
        <w:t>Dr. Calaghan</w:t>
      </w:r>
      <w:r>
        <w:rPr>
          <w:u w:val="single"/>
        </w:rPr>
        <w:t xml:space="preserve"> </w:t>
      </w:r>
      <w:r w:rsidR="006E03D6">
        <w:t xml:space="preserve">is </w:t>
      </w:r>
      <w:r>
        <w:t xml:space="preserve">to be absent from work for approximately two months due </w:t>
      </w:r>
      <w:r w:rsidR="00FF0B5C">
        <w:t xml:space="preserve">to </w:t>
      </w:r>
      <w:r>
        <w:t>recuperation from an operation following an accident</w:t>
      </w:r>
      <w:r w:rsidR="00FF0B5C">
        <w:t xml:space="preserve"> which occurred early in 2019</w:t>
      </w:r>
      <w:r>
        <w:t>.  Full locum cover will be provided.</w:t>
      </w:r>
    </w:p>
    <w:p w:rsidR="00864B3A" w:rsidRDefault="00864B3A" w:rsidP="00864B3A">
      <w:pPr>
        <w:rPr>
          <w:u w:val="single"/>
        </w:rPr>
      </w:pPr>
    </w:p>
    <w:p w:rsidR="009E638E" w:rsidRPr="00FF0B5C" w:rsidRDefault="00864B3A" w:rsidP="00FF0B5C">
      <w:pPr>
        <w:pStyle w:val="ListParagraph"/>
        <w:numPr>
          <w:ilvl w:val="0"/>
          <w:numId w:val="6"/>
        </w:numPr>
        <w:rPr>
          <w:u w:val="single"/>
        </w:rPr>
      </w:pPr>
      <w:r>
        <w:t xml:space="preserve">The </w:t>
      </w:r>
      <w:r>
        <w:rPr>
          <w:u w:val="single"/>
        </w:rPr>
        <w:t xml:space="preserve">Annual GP Patient Survey </w:t>
      </w:r>
      <w:r>
        <w:t xml:space="preserve">results have been </w:t>
      </w:r>
      <w:proofErr w:type="spellStart"/>
      <w:r w:rsidR="006E03D6">
        <w:t>publicis</w:t>
      </w:r>
      <w:r w:rsidR="009E638E">
        <w:t>ed</w:t>
      </w:r>
      <w:proofErr w:type="spellEnd"/>
      <w:r w:rsidR="009E638E">
        <w:t>.  This is a national surv</w:t>
      </w:r>
      <w:r w:rsidR="00232676">
        <w:t>ey</w:t>
      </w:r>
      <w:r w:rsidR="009E638E">
        <w:t>.</w:t>
      </w:r>
      <w:r w:rsidR="006E03D6">
        <w:t xml:space="preserve">  Baildon Medical Practice </w:t>
      </w:r>
      <w:r w:rsidR="009E638E">
        <w:t>was joint</w:t>
      </w:r>
      <w:r w:rsidR="002A3B3A">
        <w:t xml:space="preserve"> </w:t>
      </w:r>
      <w:r w:rsidR="009E638E">
        <w:t xml:space="preserve">top for our </w:t>
      </w:r>
      <w:r w:rsidR="00232676">
        <w:t>Clinical Commissioning Group</w:t>
      </w:r>
      <w:r w:rsidR="009E638E">
        <w:t xml:space="preserve">.  A few specific results were read out by </w:t>
      </w:r>
      <w:proofErr w:type="spellStart"/>
      <w:r w:rsidR="009E638E">
        <w:t>JBr</w:t>
      </w:r>
      <w:proofErr w:type="spellEnd"/>
      <w:r w:rsidR="009E638E">
        <w:t xml:space="preserve"> as examples:</w:t>
      </w:r>
    </w:p>
    <w:p w:rsidR="009E638E" w:rsidRDefault="009E638E" w:rsidP="009E638E">
      <w:pPr>
        <w:pStyle w:val="ListParagraph"/>
        <w:ind w:left="360"/>
      </w:pPr>
    </w:p>
    <w:tbl>
      <w:tblPr>
        <w:tblStyle w:val="TableGrid"/>
        <w:tblW w:w="0" w:type="auto"/>
        <w:tblInd w:w="360" w:type="dxa"/>
        <w:tblLook w:val="04A0" w:firstRow="1" w:lastRow="0" w:firstColumn="1" w:lastColumn="0" w:noHBand="0" w:noVBand="1"/>
      </w:tblPr>
      <w:tblGrid>
        <w:gridCol w:w="2080"/>
        <w:gridCol w:w="2036"/>
        <w:gridCol w:w="2007"/>
        <w:gridCol w:w="2033"/>
      </w:tblGrid>
      <w:tr w:rsidR="009E638E" w:rsidTr="009E638E">
        <w:tc>
          <w:tcPr>
            <w:tcW w:w="2129" w:type="dxa"/>
          </w:tcPr>
          <w:p w:rsidR="009E638E" w:rsidRDefault="009E638E" w:rsidP="009E638E">
            <w:pPr>
              <w:pStyle w:val="ListParagraph"/>
              <w:ind w:left="0"/>
            </w:pPr>
          </w:p>
        </w:tc>
        <w:tc>
          <w:tcPr>
            <w:tcW w:w="2129" w:type="dxa"/>
          </w:tcPr>
          <w:p w:rsidR="009E638E" w:rsidRDefault="009E638E" w:rsidP="009E638E">
            <w:pPr>
              <w:pStyle w:val="ListParagraph"/>
              <w:ind w:left="0"/>
            </w:pPr>
            <w:r>
              <w:t xml:space="preserve">National </w:t>
            </w:r>
          </w:p>
          <w:p w:rsidR="009E638E" w:rsidRDefault="009E638E" w:rsidP="009E638E">
            <w:pPr>
              <w:pStyle w:val="ListParagraph"/>
              <w:ind w:left="0"/>
            </w:pPr>
            <w:r>
              <w:t>Average %</w:t>
            </w:r>
          </w:p>
        </w:tc>
        <w:tc>
          <w:tcPr>
            <w:tcW w:w="2129" w:type="dxa"/>
          </w:tcPr>
          <w:p w:rsidR="009E638E" w:rsidRDefault="009E638E" w:rsidP="009E638E">
            <w:pPr>
              <w:pStyle w:val="ListParagraph"/>
              <w:ind w:left="0"/>
            </w:pPr>
            <w:r>
              <w:t>Local CCG %</w:t>
            </w:r>
          </w:p>
        </w:tc>
        <w:tc>
          <w:tcPr>
            <w:tcW w:w="2129" w:type="dxa"/>
          </w:tcPr>
          <w:p w:rsidR="009E638E" w:rsidRDefault="009E638E" w:rsidP="009E638E">
            <w:pPr>
              <w:pStyle w:val="ListParagraph"/>
              <w:ind w:left="0"/>
            </w:pPr>
            <w:r>
              <w:t>Baildon Med. Practice %</w:t>
            </w:r>
          </w:p>
        </w:tc>
      </w:tr>
      <w:tr w:rsidR="009E638E" w:rsidTr="009E638E">
        <w:tc>
          <w:tcPr>
            <w:tcW w:w="2129" w:type="dxa"/>
          </w:tcPr>
          <w:p w:rsidR="009E638E" w:rsidRDefault="009E638E" w:rsidP="009E638E">
            <w:pPr>
              <w:pStyle w:val="ListParagraph"/>
              <w:ind w:left="0"/>
            </w:pPr>
            <w:r>
              <w:t>Overall quality</w:t>
            </w:r>
          </w:p>
        </w:tc>
        <w:tc>
          <w:tcPr>
            <w:tcW w:w="2129" w:type="dxa"/>
          </w:tcPr>
          <w:p w:rsidR="009E638E" w:rsidRDefault="009E638E" w:rsidP="009E638E">
            <w:pPr>
              <w:pStyle w:val="ListParagraph"/>
              <w:ind w:left="0"/>
            </w:pPr>
            <w:r>
              <w:t>83</w:t>
            </w:r>
          </w:p>
        </w:tc>
        <w:tc>
          <w:tcPr>
            <w:tcW w:w="2129" w:type="dxa"/>
          </w:tcPr>
          <w:p w:rsidR="009E638E" w:rsidRDefault="009E638E" w:rsidP="009E638E">
            <w:pPr>
              <w:pStyle w:val="ListParagraph"/>
              <w:ind w:left="0"/>
            </w:pPr>
            <w:r>
              <w:t>80</w:t>
            </w:r>
          </w:p>
        </w:tc>
        <w:tc>
          <w:tcPr>
            <w:tcW w:w="2129" w:type="dxa"/>
          </w:tcPr>
          <w:p w:rsidR="009E638E" w:rsidRDefault="009E638E" w:rsidP="009E638E">
            <w:pPr>
              <w:pStyle w:val="ListParagraph"/>
              <w:ind w:left="0"/>
            </w:pPr>
            <w:r>
              <w:t>96</w:t>
            </w:r>
          </w:p>
        </w:tc>
      </w:tr>
      <w:tr w:rsidR="00232676" w:rsidTr="009E638E">
        <w:tc>
          <w:tcPr>
            <w:tcW w:w="2129" w:type="dxa"/>
          </w:tcPr>
          <w:p w:rsidR="00232676" w:rsidRDefault="00232676" w:rsidP="009E638E">
            <w:pPr>
              <w:pStyle w:val="ListParagraph"/>
              <w:ind w:left="0"/>
            </w:pPr>
            <w:r>
              <w:t>Ease of contact over phone</w:t>
            </w:r>
          </w:p>
        </w:tc>
        <w:tc>
          <w:tcPr>
            <w:tcW w:w="2129" w:type="dxa"/>
          </w:tcPr>
          <w:p w:rsidR="00232676" w:rsidRDefault="0008073D" w:rsidP="009E638E">
            <w:pPr>
              <w:pStyle w:val="ListParagraph"/>
              <w:ind w:left="0"/>
            </w:pPr>
            <w:r>
              <w:t>68</w:t>
            </w:r>
          </w:p>
        </w:tc>
        <w:tc>
          <w:tcPr>
            <w:tcW w:w="2129" w:type="dxa"/>
          </w:tcPr>
          <w:p w:rsidR="00232676" w:rsidRDefault="0008073D" w:rsidP="009E638E">
            <w:pPr>
              <w:pStyle w:val="ListParagraph"/>
              <w:ind w:left="0"/>
            </w:pPr>
            <w:r>
              <w:t>59</w:t>
            </w:r>
          </w:p>
        </w:tc>
        <w:tc>
          <w:tcPr>
            <w:tcW w:w="2129" w:type="dxa"/>
          </w:tcPr>
          <w:p w:rsidR="00232676" w:rsidRDefault="0008073D" w:rsidP="009E638E">
            <w:pPr>
              <w:pStyle w:val="ListParagraph"/>
              <w:ind w:left="0"/>
            </w:pPr>
            <w:r>
              <w:t>94</w:t>
            </w:r>
          </w:p>
        </w:tc>
      </w:tr>
      <w:tr w:rsidR="009E638E" w:rsidTr="009E638E">
        <w:tc>
          <w:tcPr>
            <w:tcW w:w="2129" w:type="dxa"/>
          </w:tcPr>
          <w:p w:rsidR="009E638E" w:rsidRDefault="0008073D" w:rsidP="009E638E">
            <w:pPr>
              <w:pStyle w:val="ListParagraph"/>
              <w:ind w:left="0"/>
            </w:pPr>
            <w:r>
              <w:t>Helpfulness of reception</w:t>
            </w:r>
          </w:p>
        </w:tc>
        <w:tc>
          <w:tcPr>
            <w:tcW w:w="2129" w:type="dxa"/>
          </w:tcPr>
          <w:p w:rsidR="009E638E" w:rsidRDefault="0008073D" w:rsidP="009E638E">
            <w:pPr>
              <w:pStyle w:val="ListParagraph"/>
              <w:ind w:left="0"/>
            </w:pPr>
            <w:r>
              <w:t>89</w:t>
            </w:r>
          </w:p>
        </w:tc>
        <w:tc>
          <w:tcPr>
            <w:tcW w:w="2129" w:type="dxa"/>
          </w:tcPr>
          <w:p w:rsidR="009E638E" w:rsidRDefault="0008073D" w:rsidP="009E638E">
            <w:pPr>
              <w:pStyle w:val="ListParagraph"/>
              <w:ind w:left="0"/>
            </w:pPr>
            <w:r>
              <w:t>87</w:t>
            </w:r>
          </w:p>
        </w:tc>
        <w:tc>
          <w:tcPr>
            <w:tcW w:w="2129" w:type="dxa"/>
          </w:tcPr>
          <w:p w:rsidR="009E638E" w:rsidRDefault="0008073D" w:rsidP="009E638E">
            <w:pPr>
              <w:pStyle w:val="ListParagraph"/>
              <w:ind w:left="0"/>
            </w:pPr>
            <w:r>
              <w:t>93</w:t>
            </w:r>
          </w:p>
        </w:tc>
      </w:tr>
      <w:tr w:rsidR="009E638E" w:rsidTr="009E638E">
        <w:tc>
          <w:tcPr>
            <w:tcW w:w="2129" w:type="dxa"/>
          </w:tcPr>
          <w:p w:rsidR="009E638E" w:rsidRDefault="0008073D" w:rsidP="0008073D">
            <w:pPr>
              <w:pStyle w:val="ListParagraph"/>
              <w:ind w:left="0"/>
            </w:pPr>
            <w:r>
              <w:t>Ease of use of website</w:t>
            </w:r>
          </w:p>
        </w:tc>
        <w:tc>
          <w:tcPr>
            <w:tcW w:w="2129" w:type="dxa"/>
          </w:tcPr>
          <w:p w:rsidR="009E638E" w:rsidRDefault="0008073D" w:rsidP="009E638E">
            <w:pPr>
              <w:pStyle w:val="ListParagraph"/>
              <w:ind w:left="0"/>
            </w:pPr>
            <w:r>
              <w:t>77</w:t>
            </w:r>
          </w:p>
        </w:tc>
        <w:tc>
          <w:tcPr>
            <w:tcW w:w="2129" w:type="dxa"/>
          </w:tcPr>
          <w:p w:rsidR="009E638E" w:rsidRDefault="0008073D" w:rsidP="009E638E">
            <w:pPr>
              <w:pStyle w:val="ListParagraph"/>
              <w:ind w:left="0"/>
            </w:pPr>
            <w:r>
              <w:t>79</w:t>
            </w:r>
          </w:p>
        </w:tc>
        <w:tc>
          <w:tcPr>
            <w:tcW w:w="2129" w:type="dxa"/>
          </w:tcPr>
          <w:p w:rsidR="009E638E" w:rsidRDefault="0008073D" w:rsidP="009E638E">
            <w:pPr>
              <w:pStyle w:val="ListParagraph"/>
              <w:ind w:left="0"/>
            </w:pPr>
            <w:r>
              <w:t>96</w:t>
            </w:r>
          </w:p>
        </w:tc>
      </w:tr>
      <w:tr w:rsidR="00232676" w:rsidTr="009E638E">
        <w:tc>
          <w:tcPr>
            <w:tcW w:w="2129" w:type="dxa"/>
          </w:tcPr>
          <w:p w:rsidR="00232676" w:rsidRDefault="0008073D" w:rsidP="009E638E">
            <w:pPr>
              <w:pStyle w:val="ListParagraph"/>
              <w:ind w:left="0"/>
            </w:pPr>
            <w:r>
              <w:t>Choice of Appointment</w:t>
            </w:r>
          </w:p>
        </w:tc>
        <w:tc>
          <w:tcPr>
            <w:tcW w:w="2129" w:type="dxa"/>
          </w:tcPr>
          <w:p w:rsidR="00232676" w:rsidRDefault="0008073D" w:rsidP="009E638E">
            <w:pPr>
              <w:pStyle w:val="ListParagraph"/>
              <w:ind w:left="0"/>
            </w:pPr>
            <w:r>
              <w:t>62</w:t>
            </w:r>
          </w:p>
        </w:tc>
        <w:tc>
          <w:tcPr>
            <w:tcW w:w="2129" w:type="dxa"/>
          </w:tcPr>
          <w:p w:rsidR="00232676" w:rsidRDefault="0008073D" w:rsidP="009E638E">
            <w:pPr>
              <w:pStyle w:val="ListParagraph"/>
              <w:ind w:left="0"/>
            </w:pPr>
            <w:r>
              <w:t>55</w:t>
            </w:r>
          </w:p>
        </w:tc>
        <w:tc>
          <w:tcPr>
            <w:tcW w:w="2129" w:type="dxa"/>
          </w:tcPr>
          <w:p w:rsidR="00232676" w:rsidRDefault="0008073D" w:rsidP="009E638E">
            <w:pPr>
              <w:pStyle w:val="ListParagraph"/>
              <w:ind w:left="0"/>
            </w:pPr>
            <w:r>
              <w:t>86</w:t>
            </w:r>
          </w:p>
        </w:tc>
      </w:tr>
      <w:tr w:rsidR="00232676" w:rsidTr="009E638E">
        <w:tc>
          <w:tcPr>
            <w:tcW w:w="2129" w:type="dxa"/>
          </w:tcPr>
          <w:p w:rsidR="00232676" w:rsidRDefault="0008073D" w:rsidP="009E638E">
            <w:pPr>
              <w:pStyle w:val="ListParagraph"/>
              <w:ind w:left="0"/>
            </w:pPr>
            <w:r>
              <w:t>Satisfaction with appointment offered</w:t>
            </w:r>
          </w:p>
        </w:tc>
        <w:tc>
          <w:tcPr>
            <w:tcW w:w="2129" w:type="dxa"/>
          </w:tcPr>
          <w:p w:rsidR="00232676" w:rsidRDefault="0008073D" w:rsidP="009E638E">
            <w:pPr>
              <w:pStyle w:val="ListParagraph"/>
              <w:ind w:left="0"/>
            </w:pPr>
            <w:r>
              <w:t>74</w:t>
            </w:r>
          </w:p>
        </w:tc>
        <w:tc>
          <w:tcPr>
            <w:tcW w:w="2129" w:type="dxa"/>
          </w:tcPr>
          <w:p w:rsidR="00232676" w:rsidRDefault="0008073D" w:rsidP="009E638E">
            <w:pPr>
              <w:pStyle w:val="ListParagraph"/>
              <w:ind w:left="0"/>
            </w:pPr>
            <w:r>
              <w:t>71</w:t>
            </w:r>
          </w:p>
        </w:tc>
        <w:tc>
          <w:tcPr>
            <w:tcW w:w="2129" w:type="dxa"/>
          </w:tcPr>
          <w:p w:rsidR="00232676" w:rsidRDefault="0008073D" w:rsidP="009E638E">
            <w:pPr>
              <w:pStyle w:val="ListParagraph"/>
              <w:ind w:left="0"/>
            </w:pPr>
            <w:r>
              <w:t>94</w:t>
            </w:r>
          </w:p>
        </w:tc>
      </w:tr>
      <w:tr w:rsidR="00232676" w:rsidTr="009E638E">
        <w:tc>
          <w:tcPr>
            <w:tcW w:w="2129" w:type="dxa"/>
          </w:tcPr>
          <w:p w:rsidR="00232676" w:rsidRDefault="0008073D" w:rsidP="009E638E">
            <w:pPr>
              <w:pStyle w:val="ListParagraph"/>
              <w:ind w:left="0"/>
            </w:pPr>
            <w:r>
              <w:t>Overall appointment experience</w:t>
            </w:r>
          </w:p>
        </w:tc>
        <w:tc>
          <w:tcPr>
            <w:tcW w:w="2129" w:type="dxa"/>
          </w:tcPr>
          <w:p w:rsidR="00232676" w:rsidRDefault="0008073D" w:rsidP="009E638E">
            <w:pPr>
              <w:pStyle w:val="ListParagraph"/>
              <w:ind w:left="0"/>
            </w:pPr>
            <w:r>
              <w:t>67</w:t>
            </w:r>
          </w:p>
        </w:tc>
        <w:tc>
          <w:tcPr>
            <w:tcW w:w="2129" w:type="dxa"/>
          </w:tcPr>
          <w:p w:rsidR="00232676" w:rsidRDefault="0008073D" w:rsidP="009E638E">
            <w:pPr>
              <w:pStyle w:val="ListParagraph"/>
              <w:ind w:left="0"/>
            </w:pPr>
            <w:r>
              <w:t>61</w:t>
            </w:r>
          </w:p>
        </w:tc>
        <w:tc>
          <w:tcPr>
            <w:tcW w:w="2129" w:type="dxa"/>
          </w:tcPr>
          <w:p w:rsidR="00232676" w:rsidRDefault="0008073D" w:rsidP="009E638E">
            <w:pPr>
              <w:pStyle w:val="ListParagraph"/>
              <w:ind w:left="0"/>
            </w:pPr>
            <w:r>
              <w:t>91</w:t>
            </w:r>
          </w:p>
        </w:tc>
      </w:tr>
      <w:tr w:rsidR="00232676" w:rsidTr="009E638E">
        <w:tc>
          <w:tcPr>
            <w:tcW w:w="2129" w:type="dxa"/>
          </w:tcPr>
          <w:p w:rsidR="00232676" w:rsidRDefault="00232676" w:rsidP="009E638E">
            <w:pPr>
              <w:pStyle w:val="ListParagraph"/>
              <w:ind w:left="0"/>
            </w:pPr>
          </w:p>
        </w:tc>
        <w:tc>
          <w:tcPr>
            <w:tcW w:w="2129" w:type="dxa"/>
          </w:tcPr>
          <w:p w:rsidR="00232676" w:rsidRDefault="00232676" w:rsidP="009E638E">
            <w:pPr>
              <w:pStyle w:val="ListParagraph"/>
              <w:ind w:left="0"/>
            </w:pPr>
          </w:p>
        </w:tc>
        <w:tc>
          <w:tcPr>
            <w:tcW w:w="2129" w:type="dxa"/>
          </w:tcPr>
          <w:p w:rsidR="00232676" w:rsidRDefault="00232676" w:rsidP="009E638E">
            <w:pPr>
              <w:pStyle w:val="ListParagraph"/>
              <w:ind w:left="0"/>
            </w:pPr>
          </w:p>
        </w:tc>
        <w:tc>
          <w:tcPr>
            <w:tcW w:w="2129" w:type="dxa"/>
          </w:tcPr>
          <w:p w:rsidR="00232676" w:rsidRDefault="00232676" w:rsidP="009E638E">
            <w:pPr>
              <w:pStyle w:val="ListParagraph"/>
              <w:ind w:left="0"/>
            </w:pPr>
          </w:p>
        </w:tc>
      </w:tr>
    </w:tbl>
    <w:p w:rsidR="009E638E" w:rsidRDefault="009E638E" w:rsidP="00FF0B5C"/>
    <w:p w:rsidR="001313CD" w:rsidRDefault="001313CD" w:rsidP="001313CD">
      <w:r>
        <w:t xml:space="preserve">     Both JD and JR offered hearty congratulations and (although there seemed to </w:t>
      </w:r>
    </w:p>
    <w:p w:rsidR="001313CD" w:rsidRDefault="001313CD" w:rsidP="001313CD">
      <w:r>
        <w:t xml:space="preserve">     </w:t>
      </w:r>
      <w:proofErr w:type="gramStart"/>
      <w:r>
        <w:t>be</w:t>
      </w:r>
      <w:proofErr w:type="gramEnd"/>
      <w:r>
        <w:t xml:space="preserve"> some reluctance to ‘blow their own trumpet’</w:t>
      </w:r>
      <w:r w:rsidR="00FF0B5C">
        <w:t>!</w:t>
      </w:r>
      <w:r>
        <w:t xml:space="preserve">) suggested that the Practice </w:t>
      </w:r>
    </w:p>
    <w:p w:rsidR="001313CD" w:rsidRDefault="001313CD" w:rsidP="001313CD">
      <w:r>
        <w:t xml:space="preserve">     </w:t>
      </w:r>
      <w:proofErr w:type="gramStart"/>
      <w:r>
        <w:t>should</w:t>
      </w:r>
      <w:proofErr w:type="gramEnd"/>
      <w:r>
        <w:t xml:space="preserve"> inform patients of this excellent news.  </w:t>
      </w:r>
    </w:p>
    <w:p w:rsidR="001313CD" w:rsidRDefault="001313CD" w:rsidP="001313CD"/>
    <w:p w:rsidR="001313CD" w:rsidRPr="002A3B3A" w:rsidRDefault="001313CD" w:rsidP="001313CD">
      <w:pPr>
        <w:rPr>
          <w:i/>
        </w:rPr>
      </w:pPr>
      <w:r w:rsidRPr="002A3B3A">
        <w:rPr>
          <w:i/>
        </w:rPr>
        <w:t xml:space="preserve">     </w:t>
      </w:r>
      <w:r w:rsidRPr="002A3B3A">
        <w:rPr>
          <w:i/>
          <w:u w:val="single"/>
        </w:rPr>
        <w:t>Some methods for doing this were discussed: placing information on the websi</w:t>
      </w:r>
      <w:r w:rsidRPr="002A3B3A">
        <w:rPr>
          <w:i/>
        </w:rPr>
        <w:t xml:space="preserve">te;   </w:t>
      </w:r>
    </w:p>
    <w:p w:rsidR="001313CD" w:rsidRPr="002A3B3A" w:rsidRDefault="001313CD" w:rsidP="001313CD">
      <w:pPr>
        <w:rPr>
          <w:i/>
          <w:u w:val="single"/>
        </w:rPr>
      </w:pPr>
      <w:r w:rsidRPr="002A3B3A">
        <w:rPr>
          <w:i/>
        </w:rPr>
        <w:t xml:space="preserve">     </w:t>
      </w:r>
      <w:proofErr w:type="gramStart"/>
      <w:r w:rsidRPr="002A3B3A">
        <w:rPr>
          <w:i/>
          <w:u w:val="single"/>
        </w:rPr>
        <w:t>placing</w:t>
      </w:r>
      <w:proofErr w:type="gramEnd"/>
      <w:r w:rsidRPr="002A3B3A">
        <w:rPr>
          <w:i/>
          <w:u w:val="single"/>
        </w:rPr>
        <w:t xml:space="preserve"> a link to the survey results on the website; placing information on the </w:t>
      </w:r>
    </w:p>
    <w:p w:rsidR="001313CD" w:rsidRPr="002A3B3A" w:rsidRDefault="001313CD" w:rsidP="001313CD">
      <w:pPr>
        <w:rPr>
          <w:i/>
          <w:u w:val="single"/>
        </w:rPr>
      </w:pPr>
      <w:r w:rsidRPr="002A3B3A">
        <w:rPr>
          <w:i/>
        </w:rPr>
        <w:t xml:space="preserve">    </w:t>
      </w:r>
      <w:r w:rsidR="002A3B3A" w:rsidRPr="002A3B3A">
        <w:rPr>
          <w:i/>
        </w:rPr>
        <w:t xml:space="preserve"> </w:t>
      </w:r>
      <w:r w:rsidRPr="002A3B3A">
        <w:rPr>
          <w:i/>
          <w:u w:val="single"/>
        </w:rPr>
        <w:t xml:space="preserve">Reception area noticeboard; placing a summary of results on laminated A4 </w:t>
      </w:r>
    </w:p>
    <w:p w:rsidR="002A3B3A" w:rsidRPr="002A3B3A" w:rsidRDefault="001313CD" w:rsidP="001313CD">
      <w:pPr>
        <w:rPr>
          <w:i/>
          <w:u w:val="single"/>
        </w:rPr>
      </w:pPr>
      <w:r w:rsidRPr="002A3B3A">
        <w:rPr>
          <w:i/>
        </w:rPr>
        <w:t xml:space="preserve">     </w:t>
      </w:r>
      <w:proofErr w:type="gramStart"/>
      <w:r w:rsidRPr="002A3B3A">
        <w:rPr>
          <w:i/>
          <w:u w:val="single"/>
        </w:rPr>
        <w:t>sheets</w:t>
      </w:r>
      <w:proofErr w:type="gramEnd"/>
      <w:r w:rsidRPr="002A3B3A">
        <w:rPr>
          <w:i/>
          <w:u w:val="single"/>
        </w:rPr>
        <w:t xml:space="preserve"> in the magazine racks in the Reception areas for patients to access whilst </w:t>
      </w:r>
    </w:p>
    <w:p w:rsidR="009E638E" w:rsidRPr="002A3B3A" w:rsidRDefault="002A3B3A" w:rsidP="001313CD">
      <w:pPr>
        <w:rPr>
          <w:i/>
          <w:u w:val="single"/>
        </w:rPr>
      </w:pPr>
      <w:r w:rsidRPr="002A3B3A">
        <w:rPr>
          <w:i/>
        </w:rPr>
        <w:t xml:space="preserve">    </w:t>
      </w:r>
      <w:proofErr w:type="gramStart"/>
      <w:r w:rsidR="001313CD" w:rsidRPr="002A3B3A">
        <w:rPr>
          <w:i/>
          <w:u w:val="single"/>
        </w:rPr>
        <w:t>waiting</w:t>
      </w:r>
      <w:proofErr w:type="gramEnd"/>
      <w:r w:rsidR="001313CD" w:rsidRPr="002A3B3A">
        <w:rPr>
          <w:i/>
          <w:u w:val="single"/>
        </w:rPr>
        <w:t xml:space="preserve"> for appointments.  SC suggested that </w:t>
      </w:r>
      <w:r w:rsidR="001313CD" w:rsidRPr="00FF0B5C">
        <w:rPr>
          <w:b/>
          <w:i/>
          <w:u w:val="single"/>
        </w:rPr>
        <w:t xml:space="preserve">PPG members </w:t>
      </w:r>
      <w:r w:rsidR="001313CD" w:rsidRPr="002A3B3A">
        <w:rPr>
          <w:i/>
          <w:u w:val="single"/>
        </w:rPr>
        <w:t>could help with this.</w:t>
      </w:r>
    </w:p>
    <w:p w:rsidR="001313CD" w:rsidRDefault="001313CD" w:rsidP="001313CD">
      <w:pPr>
        <w:rPr>
          <w:i/>
        </w:rPr>
      </w:pPr>
    </w:p>
    <w:p w:rsidR="002A3B3A" w:rsidRPr="002A3B3A" w:rsidRDefault="002A3B3A" w:rsidP="001313CD">
      <w:pPr>
        <w:rPr>
          <w:b/>
        </w:rPr>
      </w:pPr>
      <w:r>
        <w:rPr>
          <w:b/>
        </w:rPr>
        <w:t xml:space="preserve">2.  </w:t>
      </w:r>
      <w:r w:rsidRPr="002A3B3A">
        <w:rPr>
          <w:b/>
          <w:u w:val="single"/>
        </w:rPr>
        <w:t>Recruitment of New Members</w:t>
      </w:r>
    </w:p>
    <w:p w:rsidR="002A70FE" w:rsidRDefault="002A70FE" w:rsidP="002A3B3A">
      <w:pPr>
        <w:rPr>
          <w:b/>
        </w:rPr>
      </w:pPr>
    </w:p>
    <w:p w:rsidR="00A238E1" w:rsidRPr="00A238E1" w:rsidRDefault="002A3B3A" w:rsidP="002A3B3A">
      <w:pPr>
        <w:pStyle w:val="ListParagraph"/>
        <w:numPr>
          <w:ilvl w:val="0"/>
          <w:numId w:val="8"/>
        </w:numPr>
        <w:rPr>
          <w:b/>
        </w:rPr>
      </w:pPr>
      <w:proofErr w:type="spellStart"/>
      <w:r>
        <w:t>JBr</w:t>
      </w:r>
      <w:proofErr w:type="spellEnd"/>
      <w:r>
        <w:t xml:space="preserve"> gave background information about the patient base.  The Practice has 9161 patients with a gender difference of approximately 50/50</w:t>
      </w:r>
      <w:r w:rsidR="00220B5B">
        <w:t>: 4596 male and 4565 female</w:t>
      </w:r>
      <w:r>
        <w:t xml:space="preserve">.  The age profile is as follows: over 60 yrs. – 34%, 30-59 yrs. – 39%, under 30 yrs. – 27%.  The aim is to develop the PPG to a size which is not only effective but is also as representative of the </w:t>
      </w:r>
      <w:r w:rsidR="00220B5B">
        <w:t xml:space="preserve">patient </w:t>
      </w:r>
      <w:r>
        <w:t>demographic as possible.</w:t>
      </w:r>
    </w:p>
    <w:p w:rsidR="002A3B3A" w:rsidRPr="006E03D6" w:rsidRDefault="00A238E1" w:rsidP="002A3B3A">
      <w:pPr>
        <w:pStyle w:val="ListParagraph"/>
        <w:numPr>
          <w:ilvl w:val="0"/>
          <w:numId w:val="8"/>
        </w:numPr>
        <w:rPr>
          <w:b/>
        </w:rPr>
      </w:pPr>
      <w:r>
        <w:t>Following the last meeting, JR had suggested in an email to the PPG some gr</w:t>
      </w:r>
      <w:r w:rsidR="00FF0B5C">
        <w:t xml:space="preserve">oups which could be </w:t>
      </w:r>
      <w:proofErr w:type="gramStart"/>
      <w:r w:rsidR="00FF0B5C">
        <w:t>contacted</w:t>
      </w:r>
      <w:r w:rsidR="006E03D6">
        <w:t>,</w:t>
      </w:r>
      <w:proofErr w:type="gramEnd"/>
      <w:r w:rsidR="006E03D6">
        <w:t xml:space="preserve"> and other groups</w:t>
      </w:r>
      <w:r w:rsidR="00FF0B5C">
        <w:t xml:space="preserve"> were suggested at the meeting.  </w:t>
      </w:r>
      <w:r>
        <w:t xml:space="preserve">These were </w:t>
      </w:r>
      <w:proofErr w:type="spellStart"/>
      <w:r>
        <w:t>prioritised</w:t>
      </w:r>
      <w:proofErr w:type="spellEnd"/>
      <w:r w:rsidR="00FF0B5C">
        <w:t xml:space="preserve"> with the aim of</w:t>
      </w:r>
      <w:r>
        <w:t xml:space="preserve"> reach</w:t>
      </w:r>
      <w:r w:rsidR="00FF0B5C">
        <w:t>ing</w:t>
      </w:r>
      <w:r>
        <w:t xml:space="preserve"> younger patients.</w:t>
      </w:r>
    </w:p>
    <w:p w:rsidR="006E03D6" w:rsidRPr="00A238E1" w:rsidRDefault="006E03D6" w:rsidP="006E03D6">
      <w:pPr>
        <w:pStyle w:val="ListParagraph"/>
        <w:ind w:left="360"/>
        <w:rPr>
          <w:b/>
        </w:rPr>
      </w:pPr>
    </w:p>
    <w:p w:rsidR="00A238E1" w:rsidRPr="00F938C9" w:rsidRDefault="00A238E1" w:rsidP="002A3B3A">
      <w:pPr>
        <w:pStyle w:val="ListParagraph"/>
        <w:numPr>
          <w:ilvl w:val="0"/>
          <w:numId w:val="8"/>
        </w:numPr>
        <w:rPr>
          <w:b/>
          <w:i/>
          <w:u w:val="single"/>
        </w:rPr>
      </w:pPr>
      <w:r w:rsidRPr="00F938C9">
        <w:rPr>
          <w:b/>
          <w:i/>
          <w:u w:val="single"/>
        </w:rPr>
        <w:t>Local secondary schools</w:t>
      </w:r>
      <w:r w:rsidRPr="00F938C9">
        <w:rPr>
          <w:i/>
          <w:u w:val="single"/>
        </w:rPr>
        <w:t xml:space="preserve"> (Salts and Guiseley) and colleges (Shipley College) could be contacted, asking for involvement of students over 16 yrs.  JB suggested participation could be a useful experience for students, and also be a valued addition to a UCAS form.  </w:t>
      </w:r>
      <w:r w:rsidRPr="00F938C9">
        <w:rPr>
          <w:b/>
          <w:i/>
          <w:u w:val="single"/>
        </w:rPr>
        <w:t xml:space="preserve"> JR</w:t>
      </w:r>
      <w:r w:rsidRPr="00F938C9">
        <w:rPr>
          <w:i/>
          <w:u w:val="single"/>
        </w:rPr>
        <w:t xml:space="preserve"> said she would be willing to do this if possible before her holiday.</w:t>
      </w:r>
    </w:p>
    <w:p w:rsidR="00A238E1" w:rsidRPr="00F938C9" w:rsidRDefault="00A238E1" w:rsidP="002A3B3A">
      <w:pPr>
        <w:pStyle w:val="ListParagraph"/>
        <w:numPr>
          <w:ilvl w:val="0"/>
          <w:numId w:val="8"/>
        </w:numPr>
        <w:rPr>
          <w:b/>
          <w:i/>
          <w:u w:val="single"/>
        </w:rPr>
      </w:pPr>
      <w:r w:rsidRPr="00F938C9">
        <w:rPr>
          <w:b/>
          <w:i/>
          <w:u w:val="single"/>
        </w:rPr>
        <w:t>Young parents</w:t>
      </w:r>
      <w:r w:rsidRPr="00F938C9">
        <w:rPr>
          <w:i/>
          <w:u w:val="single"/>
        </w:rPr>
        <w:t xml:space="preserve"> could be contacted via National Childbirth Trust classes and though midwife contact.  </w:t>
      </w:r>
      <w:r w:rsidRPr="00F938C9">
        <w:rPr>
          <w:b/>
          <w:i/>
          <w:u w:val="single"/>
        </w:rPr>
        <w:t xml:space="preserve">Practice staff </w:t>
      </w:r>
      <w:r w:rsidRPr="00F938C9">
        <w:rPr>
          <w:i/>
          <w:u w:val="single"/>
        </w:rPr>
        <w:t>agreed to liaise re this.</w:t>
      </w:r>
    </w:p>
    <w:p w:rsidR="00220B5B" w:rsidRPr="00F938C9" w:rsidRDefault="00220B5B" w:rsidP="002A3B3A">
      <w:pPr>
        <w:pStyle w:val="ListParagraph"/>
        <w:numPr>
          <w:ilvl w:val="0"/>
          <w:numId w:val="8"/>
        </w:numPr>
        <w:rPr>
          <w:b/>
          <w:i/>
          <w:u w:val="single"/>
        </w:rPr>
      </w:pPr>
      <w:r w:rsidRPr="00F938C9">
        <w:rPr>
          <w:b/>
          <w:i/>
          <w:u w:val="single"/>
        </w:rPr>
        <w:t>Baildon Belles WI</w:t>
      </w:r>
      <w:r w:rsidRPr="00F938C9">
        <w:rPr>
          <w:i/>
          <w:u w:val="single"/>
        </w:rPr>
        <w:t xml:space="preserve"> –</w:t>
      </w:r>
      <w:r w:rsidRPr="00F938C9">
        <w:rPr>
          <w:b/>
          <w:i/>
          <w:u w:val="single"/>
        </w:rPr>
        <w:t xml:space="preserve"> </w:t>
      </w:r>
      <w:proofErr w:type="spellStart"/>
      <w:r w:rsidRPr="00F938C9">
        <w:rPr>
          <w:b/>
          <w:i/>
          <w:u w:val="single"/>
        </w:rPr>
        <w:t>JBr</w:t>
      </w:r>
      <w:proofErr w:type="spellEnd"/>
      <w:r w:rsidRPr="00F938C9">
        <w:rPr>
          <w:b/>
          <w:i/>
          <w:u w:val="single"/>
        </w:rPr>
        <w:t xml:space="preserve"> </w:t>
      </w:r>
      <w:r w:rsidRPr="00F938C9">
        <w:rPr>
          <w:i/>
          <w:u w:val="single"/>
        </w:rPr>
        <w:t>agreed to co</w:t>
      </w:r>
      <w:r w:rsidR="002052F7">
        <w:rPr>
          <w:i/>
          <w:u w:val="single"/>
        </w:rPr>
        <w:t xml:space="preserve">ntact a Practice member of staff </w:t>
      </w:r>
      <w:bookmarkStart w:id="0" w:name="_GoBack"/>
      <w:bookmarkEnd w:id="0"/>
      <w:r w:rsidRPr="00F938C9">
        <w:rPr>
          <w:i/>
          <w:u w:val="single"/>
        </w:rPr>
        <w:t>about this.</w:t>
      </w:r>
    </w:p>
    <w:p w:rsidR="00220B5B" w:rsidRPr="00F938C9" w:rsidRDefault="00220B5B" w:rsidP="002A3B3A">
      <w:pPr>
        <w:pStyle w:val="ListParagraph"/>
        <w:numPr>
          <w:ilvl w:val="0"/>
          <w:numId w:val="8"/>
        </w:numPr>
        <w:rPr>
          <w:b/>
          <w:i/>
          <w:u w:val="single"/>
        </w:rPr>
      </w:pPr>
      <w:r w:rsidRPr="00F938C9">
        <w:rPr>
          <w:b/>
          <w:i/>
          <w:u w:val="single"/>
        </w:rPr>
        <w:t>Baildon Runners</w:t>
      </w:r>
      <w:r w:rsidRPr="00F938C9">
        <w:rPr>
          <w:i/>
          <w:u w:val="single"/>
        </w:rPr>
        <w:t xml:space="preserve"> </w:t>
      </w:r>
      <w:r w:rsidRPr="00F938C9">
        <w:rPr>
          <w:b/>
          <w:i/>
          <w:u w:val="single"/>
        </w:rPr>
        <w:t xml:space="preserve">– </w:t>
      </w:r>
      <w:proofErr w:type="spellStart"/>
      <w:r w:rsidRPr="00F938C9">
        <w:rPr>
          <w:b/>
          <w:i/>
          <w:u w:val="single"/>
        </w:rPr>
        <w:t>JBr</w:t>
      </w:r>
      <w:proofErr w:type="spellEnd"/>
      <w:r w:rsidRPr="00F938C9">
        <w:rPr>
          <w:i/>
          <w:u w:val="single"/>
        </w:rPr>
        <w:t xml:space="preserve"> agreed to contact the ex-treasurer of this group.</w:t>
      </w:r>
    </w:p>
    <w:p w:rsidR="00220B5B" w:rsidRPr="00F938C9" w:rsidRDefault="00220B5B" w:rsidP="002A3B3A">
      <w:pPr>
        <w:pStyle w:val="ListParagraph"/>
        <w:numPr>
          <w:ilvl w:val="0"/>
          <w:numId w:val="8"/>
        </w:numPr>
        <w:rPr>
          <w:b/>
          <w:i/>
          <w:u w:val="single"/>
        </w:rPr>
      </w:pPr>
      <w:r w:rsidRPr="00F938C9">
        <w:rPr>
          <w:b/>
          <w:i/>
          <w:u w:val="single"/>
        </w:rPr>
        <w:t xml:space="preserve">Walkers are Welcome </w:t>
      </w:r>
      <w:r w:rsidRPr="00F938C9">
        <w:rPr>
          <w:i/>
          <w:u w:val="single"/>
        </w:rPr>
        <w:t>–</w:t>
      </w:r>
      <w:r w:rsidRPr="00F938C9">
        <w:rPr>
          <w:b/>
          <w:i/>
          <w:u w:val="single"/>
        </w:rPr>
        <w:t xml:space="preserve"> JD</w:t>
      </w:r>
      <w:r w:rsidRPr="00F938C9">
        <w:rPr>
          <w:i/>
          <w:u w:val="single"/>
        </w:rPr>
        <w:t xml:space="preserve"> agreed to speak to her husband about this group.</w:t>
      </w:r>
    </w:p>
    <w:p w:rsidR="00220B5B" w:rsidRPr="00FF0B5C" w:rsidRDefault="00220B5B" w:rsidP="00220B5B">
      <w:pPr>
        <w:pStyle w:val="ListParagraph"/>
        <w:numPr>
          <w:ilvl w:val="0"/>
          <w:numId w:val="8"/>
        </w:numPr>
        <w:rPr>
          <w:b/>
          <w:i/>
          <w:u w:val="single"/>
        </w:rPr>
      </w:pPr>
      <w:r w:rsidRPr="00F938C9">
        <w:rPr>
          <w:b/>
          <w:i/>
          <w:u w:val="single"/>
        </w:rPr>
        <w:t>Text Drop</w:t>
      </w:r>
      <w:r w:rsidRPr="00F938C9">
        <w:rPr>
          <w:i/>
          <w:u w:val="single"/>
        </w:rPr>
        <w:t xml:space="preserve"> </w:t>
      </w:r>
      <w:r w:rsidRPr="00F938C9">
        <w:rPr>
          <w:b/>
          <w:i/>
          <w:u w:val="single"/>
        </w:rPr>
        <w:t xml:space="preserve">– </w:t>
      </w:r>
      <w:r w:rsidRPr="00F938C9">
        <w:rPr>
          <w:i/>
          <w:u w:val="single"/>
        </w:rPr>
        <w:t xml:space="preserve">this was suggested by SC.  It seemed to be an excellent and efficient method of contacting patients directly as groups can be targeted in terms of age. </w:t>
      </w:r>
      <w:r w:rsidRPr="00F938C9">
        <w:rPr>
          <w:b/>
          <w:i/>
          <w:u w:val="single"/>
        </w:rPr>
        <w:t xml:space="preserve"> </w:t>
      </w:r>
      <w:proofErr w:type="spellStart"/>
      <w:r w:rsidRPr="00F938C9">
        <w:rPr>
          <w:b/>
          <w:i/>
          <w:u w:val="single"/>
        </w:rPr>
        <w:t>JBr</w:t>
      </w:r>
      <w:proofErr w:type="spellEnd"/>
      <w:r w:rsidRPr="00F938C9">
        <w:rPr>
          <w:i/>
          <w:u w:val="single"/>
        </w:rPr>
        <w:t xml:space="preserve"> agreed to investigate this.</w:t>
      </w:r>
    </w:p>
    <w:p w:rsidR="00FF0B5C" w:rsidRPr="00FF0B5C" w:rsidRDefault="00FF0B5C" w:rsidP="00FF0B5C">
      <w:pPr>
        <w:pStyle w:val="ListParagraph"/>
        <w:ind w:left="360"/>
        <w:rPr>
          <w:b/>
          <w:i/>
          <w:u w:val="single"/>
        </w:rPr>
      </w:pPr>
    </w:p>
    <w:p w:rsidR="00220B5B" w:rsidRDefault="00220B5B" w:rsidP="00220B5B">
      <w:pPr>
        <w:pStyle w:val="ListParagraph"/>
        <w:numPr>
          <w:ilvl w:val="0"/>
          <w:numId w:val="8"/>
        </w:numPr>
        <w:rPr>
          <w:i/>
          <w:u w:val="single"/>
        </w:rPr>
      </w:pPr>
      <w:r w:rsidRPr="00F938C9">
        <w:rPr>
          <w:i/>
          <w:u w:val="single"/>
        </w:rPr>
        <w:t>Before any of these groups are contacted</w:t>
      </w:r>
      <w:r w:rsidR="00F938C9" w:rsidRPr="00F938C9">
        <w:rPr>
          <w:i/>
          <w:u w:val="single"/>
        </w:rPr>
        <w:t xml:space="preserve"> it was agreed that </w:t>
      </w:r>
      <w:r w:rsidR="00F938C9" w:rsidRPr="00F938C9">
        <w:rPr>
          <w:b/>
          <w:i/>
          <w:u w:val="single"/>
        </w:rPr>
        <w:t>JR</w:t>
      </w:r>
      <w:r w:rsidR="00F938C9" w:rsidRPr="00F938C9">
        <w:rPr>
          <w:i/>
          <w:u w:val="single"/>
        </w:rPr>
        <w:t xml:space="preserve"> would draft a ‘script’ which could maybe be used as the basis of a poster or flyer outlining the remit of the PPG, methods of expressing an interest, and a date by which the Practice should be contacted.  This date was suggested as 6 weeks after the information was communicated.  (This ‘script’ will follow in a separate communication from the Minutes of the meeting.)</w:t>
      </w:r>
      <w:r w:rsidR="00FF0B5C">
        <w:rPr>
          <w:i/>
          <w:u w:val="single"/>
        </w:rPr>
        <w:t xml:space="preserve">  Any communication on behalf of the PPG must be agreed by </w:t>
      </w:r>
      <w:proofErr w:type="spellStart"/>
      <w:r w:rsidR="00FF0B5C">
        <w:rPr>
          <w:i/>
          <w:u w:val="single"/>
        </w:rPr>
        <w:t>JBr</w:t>
      </w:r>
      <w:proofErr w:type="spellEnd"/>
      <w:r w:rsidR="00FF0B5C">
        <w:rPr>
          <w:i/>
          <w:u w:val="single"/>
        </w:rPr>
        <w:t>.</w:t>
      </w:r>
    </w:p>
    <w:p w:rsidR="00FF0B5C" w:rsidRPr="00FF0B5C" w:rsidRDefault="00FF0B5C" w:rsidP="00FF0B5C">
      <w:pPr>
        <w:rPr>
          <w:i/>
          <w:u w:val="single"/>
        </w:rPr>
      </w:pPr>
    </w:p>
    <w:p w:rsidR="00FF0B5C" w:rsidRDefault="00FF0B5C" w:rsidP="00FF0B5C">
      <w:pPr>
        <w:rPr>
          <w:b/>
          <w:u w:val="single"/>
        </w:rPr>
      </w:pPr>
      <w:r>
        <w:rPr>
          <w:b/>
          <w:u w:val="single"/>
        </w:rPr>
        <w:t>Any Other Business</w:t>
      </w:r>
    </w:p>
    <w:p w:rsidR="00FF0B5C" w:rsidRDefault="00FF0B5C" w:rsidP="00FF0B5C">
      <w:pPr>
        <w:rPr>
          <w:b/>
          <w:u w:val="single"/>
        </w:rPr>
      </w:pPr>
    </w:p>
    <w:p w:rsidR="00FF0B5C" w:rsidRDefault="00472B6A" w:rsidP="00472B6A">
      <w:pPr>
        <w:pStyle w:val="ListParagraph"/>
        <w:numPr>
          <w:ilvl w:val="0"/>
          <w:numId w:val="9"/>
        </w:numPr>
      </w:pPr>
      <w:r>
        <w:t>JD reported that she had attended the Self Care Event run by HALE (Health Action Local Engagement) at Baildon Methodist Church on Wednesday 20</w:t>
      </w:r>
      <w:r w:rsidRPr="00472B6A">
        <w:rPr>
          <w:vertAlign w:val="superscript"/>
        </w:rPr>
        <w:t>th</w:t>
      </w:r>
      <w:r>
        <w:t xml:space="preserve"> November 2019.  This covered aspects such as Warm Homes, Healthy Peop</w:t>
      </w:r>
      <w:r w:rsidR="006E03D6">
        <w:t xml:space="preserve">le; Dementia Care; Living Well and Men’s Shed, </w:t>
      </w:r>
      <w:r>
        <w:t xml:space="preserve">and advice leaflets were provided about </w:t>
      </w:r>
      <w:r w:rsidR="006E03D6">
        <w:t xml:space="preserve">other </w:t>
      </w:r>
      <w:r>
        <w:t>various health issues.</w:t>
      </w:r>
    </w:p>
    <w:p w:rsidR="00472B6A" w:rsidRDefault="00472B6A" w:rsidP="00472B6A">
      <w:pPr>
        <w:pStyle w:val="ListParagraph"/>
        <w:numPr>
          <w:ilvl w:val="0"/>
          <w:numId w:val="9"/>
        </w:numPr>
      </w:pPr>
      <w:r>
        <w:t xml:space="preserve">JD asked whether the Practice had been offered any opportunity to be involved; whether it had </w:t>
      </w:r>
      <w:proofErr w:type="spellStart"/>
      <w:r>
        <w:t>publicised</w:t>
      </w:r>
      <w:proofErr w:type="spellEnd"/>
      <w:r w:rsidR="006E03D6">
        <w:t xml:space="preserve"> the event</w:t>
      </w:r>
      <w:r>
        <w:t>; whether it had encouraged patients to attend and whether there had been any feedback from patients about the event.</w:t>
      </w:r>
    </w:p>
    <w:p w:rsidR="00472B6A" w:rsidRDefault="00472B6A" w:rsidP="00472B6A">
      <w:pPr>
        <w:pStyle w:val="ListParagraph"/>
        <w:numPr>
          <w:ilvl w:val="0"/>
          <w:numId w:val="9"/>
        </w:numPr>
      </w:pPr>
      <w:proofErr w:type="spellStart"/>
      <w:r>
        <w:t>JBr</w:t>
      </w:r>
      <w:proofErr w:type="spellEnd"/>
      <w:r>
        <w:t xml:space="preserve"> stated that there was an awareness of the event but </w:t>
      </w:r>
      <w:r w:rsidR="006E03D6">
        <w:t xml:space="preserve">there </w:t>
      </w:r>
      <w:r>
        <w:t xml:space="preserve">had been no direct involvement.  JB stated that patients were referred to HALE.  The previous Community Matron had been involved re dementia.  JR suggested that the Practice need not necessarily be </w:t>
      </w:r>
      <w:r w:rsidR="00FF29E6">
        <w:t xml:space="preserve">practically </w:t>
      </w:r>
      <w:r>
        <w:t>involved in all initiatives run by other</w:t>
      </w:r>
      <w:r w:rsidR="00FF29E6">
        <w:t xml:space="preserve"> </w:t>
      </w:r>
      <w:proofErr w:type="spellStart"/>
      <w:r w:rsidR="00FF29E6">
        <w:t>organisations</w:t>
      </w:r>
      <w:proofErr w:type="spellEnd"/>
      <w:r w:rsidR="00FF29E6">
        <w:t xml:space="preserve"> simply because there may not be time</w:t>
      </w:r>
      <w:r w:rsidR="006E03D6">
        <w:t xml:space="preserve"> in already crowded schedules.</w:t>
      </w:r>
    </w:p>
    <w:p w:rsidR="006E03D6" w:rsidRDefault="006E03D6" w:rsidP="00FF29E6">
      <w:pPr>
        <w:rPr>
          <w:b/>
          <w:u w:val="single"/>
        </w:rPr>
      </w:pPr>
    </w:p>
    <w:p w:rsidR="006E03D6" w:rsidRDefault="006E03D6" w:rsidP="00FF29E6">
      <w:pPr>
        <w:rPr>
          <w:b/>
          <w:u w:val="single"/>
        </w:rPr>
      </w:pPr>
    </w:p>
    <w:p w:rsidR="00FF29E6" w:rsidRDefault="00FF29E6" w:rsidP="00FF29E6">
      <w:r>
        <w:rPr>
          <w:b/>
          <w:u w:val="single"/>
        </w:rPr>
        <w:t>Date of Next Meeting</w:t>
      </w:r>
    </w:p>
    <w:p w:rsidR="00FF29E6" w:rsidRDefault="00FF29E6" w:rsidP="00FF29E6"/>
    <w:p w:rsidR="00FF29E6" w:rsidRPr="00FF29E6" w:rsidRDefault="00FF29E6" w:rsidP="00FF29E6">
      <w:r>
        <w:t>Wednesday 13</w:t>
      </w:r>
      <w:r w:rsidRPr="00FF29E6">
        <w:rPr>
          <w:vertAlign w:val="superscript"/>
        </w:rPr>
        <w:t>th</w:t>
      </w:r>
      <w:r>
        <w:t xml:space="preserve"> May 2020, at 5 p.m.</w:t>
      </w:r>
    </w:p>
    <w:p w:rsidR="00472B6A" w:rsidRPr="00472B6A" w:rsidRDefault="00472B6A" w:rsidP="00472B6A"/>
    <w:p w:rsidR="00B530E7" w:rsidRDefault="00B530E7" w:rsidP="00BF76C4"/>
    <w:p w:rsidR="00B530E7" w:rsidRPr="00B530E7" w:rsidRDefault="00B530E7" w:rsidP="00BF76C4"/>
    <w:p w:rsidR="00BF76C4" w:rsidRDefault="00BF76C4" w:rsidP="00BF76C4">
      <w:pPr>
        <w:rPr>
          <w:b/>
        </w:rPr>
      </w:pPr>
    </w:p>
    <w:p w:rsidR="00BF76C4" w:rsidRPr="00BF76C4" w:rsidRDefault="00BF76C4" w:rsidP="00BF76C4">
      <w:pPr>
        <w:rPr>
          <w:b/>
        </w:rPr>
      </w:pPr>
    </w:p>
    <w:sectPr w:rsidR="00BF76C4" w:rsidRPr="00BF76C4" w:rsidSect="00DB4B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0F3"/>
    <w:multiLevelType w:val="hybridMultilevel"/>
    <w:tmpl w:val="7B2248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0455F61"/>
    <w:multiLevelType w:val="hybridMultilevel"/>
    <w:tmpl w:val="BE4E3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03C4447"/>
    <w:multiLevelType w:val="hybridMultilevel"/>
    <w:tmpl w:val="20E8A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7F67DE"/>
    <w:multiLevelType w:val="hybridMultilevel"/>
    <w:tmpl w:val="66E26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943345"/>
    <w:multiLevelType w:val="hybridMultilevel"/>
    <w:tmpl w:val="91EC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77C8F"/>
    <w:multiLevelType w:val="hybridMultilevel"/>
    <w:tmpl w:val="9E967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34151F8"/>
    <w:multiLevelType w:val="hybridMultilevel"/>
    <w:tmpl w:val="5B681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9DF7038"/>
    <w:multiLevelType w:val="hybridMultilevel"/>
    <w:tmpl w:val="D69C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4850CB"/>
    <w:multiLevelType w:val="hybridMultilevel"/>
    <w:tmpl w:val="DD84C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5"/>
  </w:num>
  <w:num w:numId="3">
    <w:abstractNumId w:val="4"/>
  </w:num>
  <w:num w:numId="4">
    <w:abstractNumId w:val="8"/>
  </w:num>
  <w:num w:numId="5">
    <w:abstractNumId w:val="1"/>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C4"/>
    <w:rsid w:val="0008073D"/>
    <w:rsid w:val="001313CD"/>
    <w:rsid w:val="002052F7"/>
    <w:rsid w:val="00220B5B"/>
    <w:rsid w:val="0022320D"/>
    <w:rsid w:val="00232676"/>
    <w:rsid w:val="002A3B3A"/>
    <w:rsid w:val="002A70FE"/>
    <w:rsid w:val="00472B6A"/>
    <w:rsid w:val="00554C1F"/>
    <w:rsid w:val="006E03D6"/>
    <w:rsid w:val="00864B3A"/>
    <w:rsid w:val="009E638E"/>
    <w:rsid w:val="00A238E1"/>
    <w:rsid w:val="00B530E7"/>
    <w:rsid w:val="00BB0475"/>
    <w:rsid w:val="00BF76C4"/>
    <w:rsid w:val="00DB4B8B"/>
    <w:rsid w:val="00F4068D"/>
    <w:rsid w:val="00F42DCB"/>
    <w:rsid w:val="00F938C9"/>
    <w:rsid w:val="00FB357E"/>
    <w:rsid w:val="00FF0B5C"/>
    <w:rsid w:val="00FF2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0FE"/>
    <w:pPr>
      <w:ind w:left="720"/>
      <w:contextualSpacing/>
    </w:pPr>
  </w:style>
  <w:style w:type="table" w:styleId="TableGrid">
    <w:name w:val="Table Grid"/>
    <w:basedOn w:val="TableNormal"/>
    <w:uiPriority w:val="59"/>
    <w:rsid w:val="009E6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0FE"/>
    <w:pPr>
      <w:ind w:left="720"/>
      <w:contextualSpacing/>
    </w:pPr>
  </w:style>
  <w:style w:type="table" w:styleId="TableGrid">
    <w:name w:val="Table Grid"/>
    <w:basedOn w:val="TableNormal"/>
    <w:uiPriority w:val="59"/>
    <w:rsid w:val="009E6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BB56-BCD2-4FA4-A66B-F2F01EAE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Robinson</dc:creator>
  <cp:lastModifiedBy>Bromley John</cp:lastModifiedBy>
  <cp:revision>6</cp:revision>
  <dcterms:created xsi:type="dcterms:W3CDTF">2020-01-06T10:42:00Z</dcterms:created>
  <dcterms:modified xsi:type="dcterms:W3CDTF">2020-01-06T11:21:00Z</dcterms:modified>
</cp:coreProperties>
</file>