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C5" w:rsidRDefault="003641D9"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rFonts w:ascii="Arial" w:hAnsi="Arial" w:cs="Arial"/>
          <w:b/>
          <w:noProof/>
          <w:sz w:val="32"/>
          <w:szCs w:val="32"/>
          <w:lang w:eastAsia="en-GB"/>
        </w:rPr>
        <w:drawing>
          <wp:inline distT="0" distB="0" distL="0" distR="0" wp14:anchorId="57214E26" wp14:editId="33BFF8CC">
            <wp:extent cx="2752725" cy="1104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3641D9">
        <w:rPr>
          <w:rFonts w:ascii="Arial" w:eastAsia="Times New Roman" w:hAnsi="Arial" w:cs="Arial"/>
          <w:lang w:eastAsia="en-GB"/>
        </w:rPr>
        <w:t>Baildon Medical Practice</w:t>
      </w:r>
      <w:r w:rsidRPr="00321FA3">
        <w:rPr>
          <w:rFonts w:ascii="Arial" w:eastAsia="Times New Roman" w:hAnsi="Arial" w:cs="Arial"/>
          <w:lang w:eastAsia="en-GB"/>
        </w:rPr>
        <w:t xml:space="preserve"> collec</w:t>
      </w:r>
      <w:bookmarkStart w:id="0" w:name="_GoBack"/>
      <w:bookmarkEnd w:id="0"/>
      <w:r w:rsidRPr="00321FA3">
        <w:rPr>
          <w:rFonts w:ascii="Arial" w:eastAsia="Times New Roman" w:hAnsi="Arial" w:cs="Arial"/>
          <w:lang w:eastAsia="en-GB"/>
        </w:rPr>
        <w:t xml:space="preserve">ts,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3B742E" w:rsidRDefault="003B742E"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6722CE">
      <w:pPr>
        <w:spacing w:before="100" w:beforeAutospacing="1" w:after="100" w:afterAutospacing="1" w:line="288" w:lineRule="atLeast"/>
        <w:jc w:val="both"/>
        <w:outlineLvl w:val="1"/>
        <w:rPr>
          <w:rFonts w:ascii="Arial" w:eastAsia="Times New Roman" w:hAnsi="Arial" w:cs="Arial"/>
          <w:lang w:eastAsia="en-GB"/>
        </w:rPr>
      </w:pPr>
      <w:r w:rsidRPr="00646012">
        <w:rPr>
          <w:rFonts w:ascii="Arial" w:eastAsia="Times New Roman" w:hAnsi="Arial" w:cs="Arial"/>
          <w:lang w:eastAsia="en-GB"/>
        </w:rPr>
        <w:t>The General Data Protection Regulation (GDPR) 2018 requires the Trust to process</w:t>
      </w:r>
      <w:r w:rsidR="00646012" w:rsidRPr="00646012">
        <w:rPr>
          <w:rFonts w:ascii="Arial" w:eastAsia="Times New Roman" w:hAnsi="Arial" w:cs="Arial"/>
          <w:lang w:eastAsia="en-GB"/>
        </w:rPr>
        <w:t>:</w:t>
      </w:r>
    </w:p>
    <w:p w:rsidR="008C5045" w:rsidRPr="00646012" w:rsidRDefault="00646012" w:rsidP="006722CE">
      <w:pPr>
        <w:spacing w:before="100" w:beforeAutospacing="1" w:after="100" w:afterAutospacing="1" w:line="288" w:lineRule="atLeast"/>
        <w:jc w:val="both"/>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6722CE">
      <w:pPr>
        <w:spacing w:before="100" w:beforeAutospacing="1" w:after="100" w:afterAutospacing="1" w:line="288" w:lineRule="atLeast"/>
        <w:jc w:val="both"/>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“Necessary for the performance of a task carried out in the public interest or in the exercise of official authority vested in the Trust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6722CE">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lastRenderedPageBreak/>
        <w:t xml:space="preserve">Contact we have had with you such as appointments or clinic visits. </w:t>
      </w:r>
    </w:p>
    <w:p w:rsidR="00640A72" w:rsidRPr="00321FA3" w:rsidRDefault="00E77E85"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6722CE">
      <w:pPr>
        <w:pStyle w:val="ListParagraph"/>
        <w:numPr>
          <w:ilvl w:val="0"/>
          <w:numId w:val="8"/>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6722CE">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6722CE">
      <w:pPr>
        <w:pStyle w:val="ListParagraph"/>
        <w:numPr>
          <w:ilvl w:val="0"/>
          <w:numId w:val="9"/>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6722CE">
      <w:pPr>
        <w:pStyle w:val="ListParagraph"/>
        <w:numPr>
          <w:ilvl w:val="0"/>
          <w:numId w:val="9"/>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6722CE">
      <w:pPr>
        <w:pStyle w:val="ListParagraph"/>
        <w:numPr>
          <w:ilvl w:val="0"/>
          <w:numId w:val="9"/>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6722CE">
      <w:pPr>
        <w:pStyle w:val="ListParagraph"/>
        <w:numPr>
          <w:ilvl w:val="0"/>
          <w:numId w:val="9"/>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6722CE">
      <w:pPr>
        <w:spacing w:before="100" w:beforeAutospacing="1" w:after="100" w:afterAutospacing="1" w:line="240" w:lineRule="auto"/>
        <w:jc w:val="both"/>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A93E1F" w:rsidRPr="00A93E1F" w:rsidRDefault="006722CE" w:rsidP="006722CE">
      <w:pPr>
        <w:spacing w:line="240" w:lineRule="auto"/>
        <w:jc w:val="both"/>
        <w:rPr>
          <w:rFonts w:ascii="Arial" w:eastAsia="Times New Roman" w:hAnsi="Arial" w:cs="Arial"/>
          <w:lang w:eastAsia="en-GB"/>
        </w:rPr>
      </w:pPr>
      <w:hyperlink r:id="rId10" w:history="1">
        <w:r w:rsidR="00A93E1F" w:rsidRPr="00EA346B">
          <w:rPr>
            <w:rStyle w:val="Hyperlink"/>
            <w:rFonts w:ascii="Arial" w:eastAsia="Times New Roman" w:hAnsi="Arial" w:cs="Arial"/>
            <w:i/>
            <w:iCs/>
            <w:lang w:eastAsia="en-GB"/>
          </w:rPr>
          <w:t>https://digital.nhs.uk/media/329/Care-Record-Guarantee/pdf/Care_Record_Guarantee</w:t>
        </w:r>
      </w:hyperlink>
      <w:r w:rsidR="00A93E1F">
        <w:rPr>
          <w:rFonts w:ascii="Arial" w:eastAsia="Times New Roman" w:hAnsi="Arial" w:cs="Arial"/>
          <w:i/>
          <w:iCs/>
          <w:lang w:eastAsia="en-GB"/>
        </w:rPr>
        <w:t xml:space="preserve"> </w:t>
      </w:r>
    </w:p>
    <w:p w:rsidR="00E45AAF" w:rsidRDefault="00E45AAF" w:rsidP="006722CE">
      <w:pPr>
        <w:spacing w:before="100" w:beforeAutospacing="1" w:after="100" w:afterAutospacing="1" w:line="288" w:lineRule="atLeast"/>
        <w:jc w:val="both"/>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6722CE">
      <w:pPr>
        <w:autoSpaceDE w:val="0"/>
        <w:autoSpaceDN w:val="0"/>
        <w:adjustRightInd w:val="0"/>
        <w:spacing w:after="0" w:line="240" w:lineRule="auto"/>
        <w:jc w:val="both"/>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w:t>
      </w:r>
      <w:r w:rsidRPr="008C3D4B">
        <w:rPr>
          <w:rFonts w:ascii="Arial" w:hAnsi="Arial" w:cs="Arial"/>
          <w:color w:val="000000"/>
        </w:rPr>
        <w:lastRenderedPageBreak/>
        <w:t xml:space="preserve">or under contract to NHS organisations in England. This also includes public health functions in Local Authorities and Adult Social Care where there is joint care provided within the NHS. </w:t>
      </w:r>
    </w:p>
    <w:p w:rsidR="00974AC4" w:rsidRPr="008C3D4B" w:rsidRDefault="00974AC4" w:rsidP="006722CE">
      <w:pPr>
        <w:spacing w:before="100" w:beforeAutospacing="1" w:after="100" w:afterAutospacing="1" w:line="288" w:lineRule="atLeast"/>
        <w:jc w:val="both"/>
        <w:outlineLvl w:val="1"/>
        <w:rPr>
          <w:rStyle w:val="Hyperlink"/>
          <w:rFonts w:ascii="Arial" w:hAnsi="Arial" w:cs="Arial"/>
          <w:color w:val="548DD4" w:themeColor="text2" w:themeTint="99"/>
          <w:u w:val="none"/>
        </w:rPr>
      </w:pPr>
      <w:r w:rsidRPr="008C3D4B">
        <w:rPr>
          <w:rFonts w:ascii="Arial" w:hAnsi="Arial" w:cs="Arial"/>
          <w:color w:val="000000"/>
        </w:rPr>
        <w:t>The Code is based on current legal requirements and professional best practice. It will help organisations to implement the recommendations of the Mid Staffordshire NHS Foundation Trust Public Inquiry relating to records management and transparency.</w:t>
      </w:r>
    </w:p>
    <w:p w:rsidR="008C3D4B" w:rsidRDefault="006722CE" w:rsidP="006722CE">
      <w:pPr>
        <w:spacing w:before="100" w:beforeAutospacing="1" w:after="100" w:afterAutospacing="1" w:line="288" w:lineRule="atLeast"/>
        <w:jc w:val="both"/>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6722CE">
      <w:pPr>
        <w:spacing w:before="100" w:beforeAutospacing="1" w:after="100" w:afterAutospacing="1" w:line="240" w:lineRule="auto"/>
        <w:jc w:val="both"/>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6722CE">
      <w:pPr>
        <w:spacing w:before="100" w:beforeAutospacing="1" w:after="100" w:afterAutospacing="1" w:line="240" w:lineRule="auto"/>
        <w:jc w:val="both"/>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6722CE">
      <w:pPr>
        <w:spacing w:before="100" w:beforeAutospacing="1" w:after="100" w:afterAutospacing="1" w:line="240" w:lineRule="auto"/>
        <w:jc w:val="both"/>
        <w:rPr>
          <w:rStyle w:val="Hyperlink"/>
          <w:rFonts w:ascii="Arial" w:hAnsi="Arial" w:cs="Arial"/>
        </w:rPr>
      </w:pPr>
      <w:r w:rsidRPr="00321FA3">
        <w:rPr>
          <w:rFonts w:ascii="Arial" w:eastAsia="Times New Roman" w:hAnsi="Arial" w:cs="Arial"/>
          <w:lang w:val="en" w:eastAsia="en-GB"/>
        </w:rPr>
        <w:t>The Trust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records are destroyed confidentially once their retention period has been met, and the Trust has made the decision that the records are no longer required.</w:t>
      </w:r>
    </w:p>
    <w:p w:rsidR="00290715" w:rsidRPr="008C3D4B" w:rsidRDefault="0029071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6722CE">
      <w:pPr>
        <w:spacing w:before="100" w:beforeAutospacing="1" w:after="100" w:afterAutospacing="1" w:line="288" w:lineRule="atLeast"/>
        <w:jc w:val="both"/>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6722CE">
      <w:pPr>
        <w:spacing w:before="100" w:beforeAutospacing="1" w:after="100" w:afterAutospacing="1" w:line="240" w:lineRule="auto"/>
        <w:jc w:val="both"/>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6722CE">
      <w:pPr>
        <w:pStyle w:val="ListParagraph"/>
        <w:numPr>
          <w:ilvl w:val="0"/>
          <w:numId w:val="10"/>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Other NHS Trusts and hospitals that are involved in your care. </w:t>
      </w:r>
    </w:p>
    <w:p w:rsidR="00E77E85" w:rsidRPr="00321FA3" w:rsidRDefault="003B552C" w:rsidP="006722CE">
      <w:pPr>
        <w:pStyle w:val="ListParagraph"/>
        <w:numPr>
          <w:ilvl w:val="0"/>
          <w:numId w:val="10"/>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6722CE">
      <w:pPr>
        <w:pStyle w:val="ListParagraph"/>
        <w:numPr>
          <w:ilvl w:val="0"/>
          <w:numId w:val="10"/>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6722CE">
      <w:pPr>
        <w:pStyle w:val="ListParagraph"/>
        <w:numPr>
          <w:ilvl w:val="0"/>
          <w:numId w:val="10"/>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6722CE">
      <w:pPr>
        <w:pStyle w:val="ListParagraph"/>
        <w:numPr>
          <w:ilvl w:val="0"/>
          <w:numId w:val="11"/>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6722CE">
      <w:pPr>
        <w:pStyle w:val="ListParagraph"/>
        <w:numPr>
          <w:ilvl w:val="0"/>
          <w:numId w:val="11"/>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6722CE">
      <w:pPr>
        <w:pStyle w:val="ListParagraph"/>
        <w:numPr>
          <w:ilvl w:val="0"/>
          <w:numId w:val="11"/>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6722CE">
      <w:pPr>
        <w:pStyle w:val="ListParagraph"/>
        <w:numPr>
          <w:ilvl w:val="0"/>
          <w:numId w:val="11"/>
        </w:num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6722CE">
      <w:pPr>
        <w:spacing w:before="100" w:beforeAutospacing="1" w:after="100" w:afterAutospacing="1" w:line="240" w:lineRule="auto"/>
        <w:jc w:val="both"/>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6722CE">
      <w:pPr>
        <w:spacing w:before="100" w:beforeAutospacing="1" w:after="100" w:afterAutospacing="1" w:line="240" w:lineRule="auto"/>
        <w:jc w:val="both"/>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lastRenderedPageBreak/>
        <w:t>Indirect Care Purposes:</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6722CE">
      <w:pPr>
        <w:numPr>
          <w:ilvl w:val="0"/>
          <w:numId w:val="14"/>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6722CE">
      <w:pPr>
        <w:spacing w:before="100" w:beforeAutospacing="1" w:after="100" w:afterAutospacing="1" w:line="240" w:lineRule="auto"/>
        <w:jc w:val="both"/>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6722CE" w:rsidP="006722CE">
      <w:pPr>
        <w:numPr>
          <w:ilvl w:val="0"/>
          <w:numId w:val="15"/>
        </w:numPr>
        <w:spacing w:before="100" w:beforeAutospacing="1" w:after="150" w:line="240" w:lineRule="auto"/>
        <w:ind w:left="300"/>
        <w:jc w:val="both"/>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rsidR="00A1070A" w:rsidRPr="00A1070A" w:rsidRDefault="006722CE" w:rsidP="006722CE">
      <w:pPr>
        <w:numPr>
          <w:ilvl w:val="0"/>
          <w:numId w:val="15"/>
        </w:numPr>
        <w:spacing w:before="100" w:beforeAutospacing="1" w:after="150" w:line="240" w:lineRule="auto"/>
        <w:ind w:left="300"/>
        <w:jc w:val="both"/>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rsidR="003B552C" w:rsidRPr="001F4181" w:rsidRDefault="003B552C" w:rsidP="006722CE">
      <w:pPr>
        <w:spacing w:before="100" w:beforeAutospacing="1" w:after="150" w:line="240" w:lineRule="auto"/>
        <w:ind w:left="-60"/>
        <w:jc w:val="both"/>
        <w:rPr>
          <w:rFonts w:ascii="Arial" w:eastAsia="Times New Roman" w:hAnsi="Arial" w:cs="Arial"/>
          <w:bCs/>
          <w:color w:val="548DD4" w:themeColor="text2" w:themeTint="99"/>
          <w:sz w:val="36"/>
          <w:szCs w:val="36"/>
          <w:lang w:eastAsia="en-GB"/>
        </w:rPr>
      </w:pPr>
      <w:r w:rsidRPr="001F4181">
        <w:rPr>
          <w:rFonts w:ascii="Arial" w:eastAsia="Times New Roman" w:hAnsi="Arial" w:cs="Arial"/>
          <w:bCs/>
          <w:color w:val="548DD4" w:themeColor="text2" w:themeTint="99"/>
          <w:sz w:val="36"/>
          <w:szCs w:val="36"/>
          <w:lang w:eastAsia="en-GB"/>
        </w:rPr>
        <w:t>When other people need information about you</w:t>
      </w:r>
    </w:p>
    <w:p w:rsidR="00492AD9" w:rsidRDefault="003B552C" w:rsidP="006722CE">
      <w:pPr>
        <w:spacing w:before="100" w:beforeAutospacing="1" w:after="100" w:afterAutospacing="1" w:line="240" w:lineRule="auto"/>
        <w:jc w:val="both"/>
        <w:rPr>
          <w:rFonts w:ascii="Arial" w:eastAsia="Times New Roman" w:hAnsi="Arial" w:cs="Arial"/>
          <w:lang w:eastAsia="en-GB"/>
        </w:rPr>
      </w:pPr>
      <w:r w:rsidRPr="001F4181">
        <w:rPr>
          <w:rFonts w:ascii="Arial" w:eastAsia="Times New Roman" w:hAnsi="Arial" w:cs="Arial"/>
          <w:lang w:eastAsia="en-GB"/>
        </w:rPr>
        <w:t xml:space="preserve">Everyone working in Health and Social </w:t>
      </w:r>
      <w:r w:rsidR="00A1070A" w:rsidRPr="001F4181">
        <w:rPr>
          <w:rFonts w:ascii="Arial" w:eastAsia="Times New Roman" w:hAnsi="Arial" w:cs="Arial"/>
          <w:lang w:eastAsia="en-GB"/>
        </w:rPr>
        <w:t xml:space="preserve">Care </w:t>
      </w:r>
      <w:r w:rsidRPr="001F4181">
        <w:rPr>
          <w:rFonts w:ascii="Arial" w:eastAsia="Times New Roman" w:hAnsi="Arial" w:cs="Arial"/>
          <w:lang w:eastAsia="en-GB"/>
        </w:rPr>
        <w:t>has a legal duty to keep information</w:t>
      </w:r>
      <w:r w:rsidRPr="00321FA3">
        <w:rPr>
          <w:rFonts w:ascii="Arial" w:eastAsia="Times New Roman" w:hAnsi="Arial" w:cs="Arial"/>
          <w:lang w:eastAsia="en-GB"/>
        </w:rPr>
        <w:t xml:space="preserve">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6722CE">
      <w:pPr>
        <w:numPr>
          <w:ilvl w:val="0"/>
          <w:numId w:val="16"/>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6722CE">
      <w:pPr>
        <w:numPr>
          <w:ilvl w:val="0"/>
          <w:numId w:val="16"/>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6722CE">
      <w:pPr>
        <w:numPr>
          <w:ilvl w:val="0"/>
          <w:numId w:val="16"/>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6722CE">
      <w:pPr>
        <w:numPr>
          <w:ilvl w:val="0"/>
          <w:numId w:val="16"/>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6722CE">
      <w:pPr>
        <w:numPr>
          <w:ilvl w:val="0"/>
          <w:numId w:val="16"/>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6722CE">
      <w:pPr>
        <w:numPr>
          <w:ilvl w:val="0"/>
          <w:numId w:val="16"/>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lastRenderedPageBreak/>
        <w:t>If you are subject to the Mental Health Act (1983), there are circumstances in which your ‘nearest relative’ must receive information even if you object</w:t>
      </w:r>
    </w:p>
    <w:p w:rsidR="003B552C" w:rsidRDefault="003B552C" w:rsidP="006722CE">
      <w:pPr>
        <w:numPr>
          <w:ilvl w:val="0"/>
          <w:numId w:val="16"/>
        </w:numPr>
        <w:spacing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1F4181" w:rsidRPr="001F4181" w:rsidRDefault="001F4181" w:rsidP="006722CE">
      <w:pPr>
        <w:spacing w:after="150" w:line="240" w:lineRule="auto"/>
        <w:jc w:val="both"/>
        <w:rPr>
          <w:rFonts w:ascii="Arial" w:eastAsia="Times New Roman" w:hAnsi="Arial" w:cs="Arial"/>
          <w:color w:val="4F81BD" w:themeColor="accent1"/>
          <w:sz w:val="36"/>
          <w:szCs w:val="36"/>
          <w:lang w:eastAsia="en-GB"/>
        </w:rPr>
      </w:pPr>
      <w:r w:rsidRPr="001F4181">
        <w:rPr>
          <w:rFonts w:ascii="Arial" w:eastAsia="Times New Roman" w:hAnsi="Arial" w:cs="Arial"/>
          <w:color w:val="4F81BD" w:themeColor="accent1"/>
          <w:sz w:val="36"/>
          <w:szCs w:val="36"/>
          <w:lang w:eastAsia="en-GB"/>
        </w:rPr>
        <w:t>Primary Care Network</w:t>
      </w:r>
    </w:p>
    <w:p w:rsidR="001F4181" w:rsidRPr="001F4181" w:rsidRDefault="001F4181" w:rsidP="006722CE">
      <w:pPr>
        <w:spacing w:after="150" w:line="240" w:lineRule="auto"/>
        <w:jc w:val="both"/>
        <w:rPr>
          <w:rFonts w:ascii="Arial" w:eastAsia="Times New Roman" w:hAnsi="Arial" w:cs="Arial"/>
          <w:lang w:eastAsia="en-GB"/>
        </w:rPr>
      </w:pPr>
      <w:r w:rsidRPr="001F4181">
        <w:rPr>
          <w:rFonts w:ascii="Arial" w:eastAsia="Times New Roman" w:hAnsi="Arial" w:cs="Arial"/>
          <w:lang w:eastAsia="en-GB"/>
        </w:rPr>
        <w:t>We are a member of The Bingley Bubble Primary Care Network (PCN).  This means we will be working closely with a number of other Practices and health and care organisations to provide healthcare services to you.</w:t>
      </w:r>
    </w:p>
    <w:p w:rsidR="001F4181" w:rsidRPr="001F4181" w:rsidRDefault="001F4181" w:rsidP="006722CE">
      <w:pPr>
        <w:spacing w:after="150" w:line="240" w:lineRule="auto"/>
        <w:jc w:val="both"/>
        <w:rPr>
          <w:rFonts w:ascii="Arial" w:eastAsia="Times New Roman" w:hAnsi="Arial" w:cs="Arial"/>
          <w:lang w:eastAsia="en-GB"/>
        </w:rPr>
      </w:pPr>
      <w:r w:rsidRPr="001F4181">
        <w:rPr>
          <w:rFonts w:ascii="Arial" w:eastAsia="Times New Roman" w:hAnsi="Arial" w:cs="Arial"/>
          <w:lang w:eastAsia="en-GB"/>
        </w:rPr>
        <w:t xml:space="preserve">During the course of our work we may share your information with these Practices and health care organisations/professionals.  We will only share this information where it relates to your direct healthcare needs. </w:t>
      </w:r>
    </w:p>
    <w:p w:rsidR="001F4181" w:rsidRPr="001F4181" w:rsidRDefault="001F4181" w:rsidP="006722CE">
      <w:pPr>
        <w:spacing w:after="150" w:line="240" w:lineRule="auto"/>
        <w:jc w:val="both"/>
        <w:rPr>
          <w:rFonts w:ascii="Arial" w:eastAsia="Times New Roman" w:hAnsi="Arial" w:cs="Arial"/>
          <w:lang w:eastAsia="en-GB"/>
        </w:rPr>
      </w:pPr>
      <w:r w:rsidRPr="001F4181">
        <w:rPr>
          <w:rFonts w:ascii="Arial" w:eastAsia="Times New Roman" w:hAnsi="Arial" w:cs="Arial"/>
          <w:lang w:eastAsia="en-GB"/>
        </w:rPr>
        <w:t>When we do this, we will always ensure that appropriate agreements are in place to protect your information and keep it safe and secure. This is also what the Law requires us to do.</w:t>
      </w:r>
    </w:p>
    <w:p w:rsidR="001F4181" w:rsidRPr="00321FA3" w:rsidRDefault="001F4181" w:rsidP="006722CE">
      <w:pPr>
        <w:spacing w:after="150" w:line="240" w:lineRule="auto"/>
        <w:jc w:val="both"/>
        <w:rPr>
          <w:rFonts w:ascii="Arial" w:eastAsia="Times New Roman" w:hAnsi="Arial" w:cs="Arial"/>
          <w:lang w:eastAsia="en-GB"/>
        </w:rPr>
      </w:pPr>
      <w:r w:rsidRPr="001F4181">
        <w:rPr>
          <w:rFonts w:ascii="Arial" w:eastAsia="Times New Roman" w:hAnsi="Arial" w:cs="Arial"/>
          <w:lang w:eastAsia="en-GB"/>
        </w:rPr>
        <w:t>If you would like to see the information the PCN holds about you please contact Rachael Nicholson at Rachael.Nicholson@Bradford.nhs.uk . See also your rights as a patient listed below.</w:t>
      </w:r>
    </w:p>
    <w:p w:rsidR="008C3D4B" w:rsidRDefault="003B552C" w:rsidP="006722CE">
      <w:pPr>
        <w:spacing w:before="240" w:after="0" w:line="240" w:lineRule="auto"/>
        <w:jc w:val="both"/>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6722CE">
      <w:pPr>
        <w:spacing w:before="240" w:after="0" w:line="240" w:lineRule="auto"/>
        <w:jc w:val="both"/>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6722CE">
      <w:pPr>
        <w:numPr>
          <w:ilvl w:val="0"/>
          <w:numId w:val="17"/>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To make sure that staff act in compliance with Trust procedures.</w:t>
      </w:r>
    </w:p>
    <w:p w:rsidR="003B552C" w:rsidRPr="00321FA3" w:rsidRDefault="003B552C" w:rsidP="006722CE">
      <w:pPr>
        <w:numPr>
          <w:ilvl w:val="0"/>
          <w:numId w:val="17"/>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6722CE">
      <w:pPr>
        <w:numPr>
          <w:ilvl w:val="0"/>
          <w:numId w:val="17"/>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6722CE">
      <w:pPr>
        <w:numPr>
          <w:ilvl w:val="0"/>
          <w:numId w:val="17"/>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6722CE">
      <w:pPr>
        <w:spacing w:before="100" w:beforeAutospacing="1" w:after="150" w:line="240" w:lineRule="auto"/>
        <w:ind w:left="-60"/>
        <w:jc w:val="both"/>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6722CE">
      <w:pPr>
        <w:spacing w:before="100" w:beforeAutospacing="1" w:after="150" w:line="240" w:lineRule="auto"/>
        <w:ind w:left="-60"/>
        <w:jc w:val="both"/>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rsidR="006A37E0" w:rsidRP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6722CE">
      <w:pPr>
        <w:spacing w:before="100" w:beforeAutospacing="1" w:after="150" w:line="240" w:lineRule="auto"/>
        <w:jc w:val="both"/>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722CE">
      <w:pPr>
        <w:numPr>
          <w:ilvl w:val="0"/>
          <w:numId w:val="21"/>
        </w:numPr>
        <w:spacing w:before="100" w:beforeAutospacing="1" w:after="150" w:line="240" w:lineRule="auto"/>
        <w:jc w:val="both"/>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722CE">
      <w:pPr>
        <w:numPr>
          <w:ilvl w:val="0"/>
          <w:numId w:val="21"/>
        </w:numPr>
        <w:spacing w:before="100" w:beforeAutospacing="1" w:after="150" w:line="240" w:lineRule="auto"/>
        <w:jc w:val="both"/>
        <w:rPr>
          <w:rFonts w:ascii="Arial" w:eastAsia="Times New Roman" w:hAnsi="Arial" w:cs="Arial"/>
          <w:lang w:val="en" w:eastAsia="en-GB"/>
        </w:rPr>
      </w:pPr>
      <w:r>
        <w:rPr>
          <w:rFonts w:ascii="Arial" w:eastAsia="Times New Roman" w:hAnsi="Arial" w:cs="Arial"/>
          <w:lang w:val="en" w:eastAsia="en-GB"/>
        </w:rPr>
        <w:lastRenderedPageBreak/>
        <w:t>The period of time the data will be stored for</w:t>
      </w:r>
    </w:p>
    <w:p w:rsid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722CE">
      <w:pPr>
        <w:numPr>
          <w:ilvl w:val="0"/>
          <w:numId w:val="21"/>
        </w:numPr>
        <w:spacing w:before="100" w:beforeAutospacing="1" w:after="150" w:line="240" w:lineRule="auto"/>
        <w:jc w:val="both"/>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6722CE">
      <w:pPr>
        <w:numPr>
          <w:ilvl w:val="0"/>
          <w:numId w:val="21"/>
        </w:numPr>
        <w:spacing w:before="100" w:beforeAutospacing="1" w:after="150" w:line="240" w:lineRule="auto"/>
        <w:jc w:val="both"/>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6722CE">
      <w:pPr>
        <w:spacing w:before="100" w:beforeAutospacing="1" w:after="100" w:afterAutospacing="1" w:line="240" w:lineRule="auto"/>
        <w:jc w:val="both"/>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6722CE">
      <w:pPr>
        <w:spacing w:before="100" w:beforeAutospacing="1" w:after="100" w:afterAutospacing="1" w:line="240" w:lineRule="auto"/>
        <w:jc w:val="both"/>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6722CE">
      <w:pPr>
        <w:spacing w:before="100" w:beforeAutospacing="1" w:after="100" w:afterAutospacing="1" w:line="240" w:lineRule="auto"/>
        <w:jc w:val="both"/>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6722CE">
      <w:pPr>
        <w:spacing w:before="100" w:beforeAutospacing="1" w:after="100" w:afterAutospacing="1" w:line="240" w:lineRule="auto"/>
        <w:jc w:val="both"/>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6722CE">
      <w:pPr>
        <w:spacing w:before="100" w:beforeAutospacing="1" w:after="100" w:afterAutospacing="1" w:line="240" w:lineRule="auto"/>
        <w:jc w:val="both"/>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6722CE">
      <w:pPr>
        <w:spacing w:before="100" w:beforeAutospacing="1" w:after="100" w:afterAutospacing="1" w:line="240" w:lineRule="auto"/>
        <w:jc w:val="both"/>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without consent relies on HRA CAG authorisation under Section 251 of the NHS Act 2006, then the patient has the right to register their objection to the disclosure, and the Trust is obliged to respect that objection.</w:t>
      </w:r>
    </w:p>
    <w:p w:rsidR="00B40F53" w:rsidRPr="00321FA3" w:rsidRDefault="00B40F53" w:rsidP="006722CE">
      <w:pPr>
        <w:spacing w:before="100" w:beforeAutospacing="1" w:after="100" w:afterAutospacing="1" w:line="240" w:lineRule="auto"/>
        <w:jc w:val="both"/>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6722CE">
      <w:pPr>
        <w:spacing w:before="100" w:beforeAutospacing="1" w:after="100" w:afterAutospacing="1" w:line="240" w:lineRule="auto"/>
        <w:jc w:val="both"/>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6722CE">
      <w:pPr>
        <w:spacing w:before="100" w:beforeAutospacing="1" w:after="100" w:afterAutospacing="1" w:line="240" w:lineRule="auto"/>
        <w:jc w:val="both"/>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protect staff, patients, visitors and Trust property</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lastRenderedPageBreak/>
        <w:t>provide a deterrent effect and reduce unlawful activity</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6722CE">
      <w:pPr>
        <w:numPr>
          <w:ilvl w:val="0"/>
          <w:numId w:val="18"/>
        </w:numPr>
        <w:spacing w:before="100" w:beforeAutospacing="1" w:after="150" w:line="240" w:lineRule="auto"/>
        <w:ind w:left="300"/>
        <w:jc w:val="both"/>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6722CE">
      <w:pPr>
        <w:spacing w:before="240" w:beforeAutospacing="1" w:after="100" w:afterAutospacing="1" w:line="240" w:lineRule="auto"/>
        <w:jc w:val="both"/>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6722CE">
      <w:pPr>
        <w:numPr>
          <w:ilvl w:val="0"/>
          <w:numId w:val="20"/>
        </w:numPr>
        <w:spacing w:before="100" w:beforeAutospacing="1" w:after="100" w:afterAutospacing="1" w:line="240" w:lineRule="auto"/>
        <w:jc w:val="both"/>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6722CE">
      <w:pPr>
        <w:pStyle w:val="ListParagraph"/>
        <w:numPr>
          <w:ilvl w:val="0"/>
          <w:numId w:val="20"/>
        </w:numPr>
        <w:spacing w:before="100" w:beforeAutospacing="1" w:after="100" w:afterAutospacing="1" w:line="288" w:lineRule="atLeast"/>
        <w:jc w:val="both"/>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2E1570" w:rsidP="006722CE">
      <w:pPr>
        <w:spacing w:before="100" w:beforeAutospacing="1" w:after="100" w:afterAutospacing="1" w:line="288" w:lineRule="atLeast"/>
        <w:jc w:val="both"/>
        <w:outlineLvl w:val="1"/>
        <w:rPr>
          <w:rFonts w:ascii="Arial" w:hAnsi="Arial" w:cs="Arial"/>
        </w:rPr>
      </w:pPr>
      <w:r w:rsidRPr="00321FA3">
        <w:rPr>
          <w:rFonts w:ascii="Arial" w:hAnsi="Arial" w:cs="Arial"/>
        </w:rPr>
        <w:t xml:space="preserve">write to: </w:t>
      </w:r>
    </w:p>
    <w:p w:rsidR="00063FAC" w:rsidRDefault="002E1570" w:rsidP="006722CE">
      <w:pPr>
        <w:pStyle w:val="Default"/>
        <w:jc w:val="both"/>
        <w:rPr>
          <w:sz w:val="22"/>
          <w:szCs w:val="22"/>
        </w:rPr>
      </w:pPr>
      <w:r w:rsidRPr="00321FA3">
        <w:rPr>
          <w:sz w:val="22"/>
          <w:szCs w:val="22"/>
        </w:rPr>
        <w:t>The Access to Records Department</w:t>
      </w:r>
    </w:p>
    <w:p w:rsidR="00067005" w:rsidRPr="00067005" w:rsidRDefault="00067005" w:rsidP="006722CE">
      <w:pPr>
        <w:pStyle w:val="Default"/>
        <w:jc w:val="both"/>
        <w:rPr>
          <w:color w:val="auto"/>
          <w:sz w:val="22"/>
          <w:szCs w:val="22"/>
        </w:rPr>
      </w:pPr>
      <w:r w:rsidRPr="00067005">
        <w:rPr>
          <w:color w:val="auto"/>
          <w:sz w:val="22"/>
          <w:szCs w:val="22"/>
        </w:rPr>
        <w:t>Baildon Medical Practice</w:t>
      </w:r>
    </w:p>
    <w:p w:rsidR="00067005" w:rsidRPr="00067005" w:rsidRDefault="00067005" w:rsidP="006722CE">
      <w:pPr>
        <w:pStyle w:val="Default"/>
        <w:jc w:val="both"/>
        <w:rPr>
          <w:color w:val="auto"/>
          <w:sz w:val="22"/>
          <w:szCs w:val="22"/>
        </w:rPr>
      </w:pPr>
      <w:r w:rsidRPr="00067005">
        <w:rPr>
          <w:color w:val="auto"/>
          <w:sz w:val="22"/>
          <w:szCs w:val="22"/>
        </w:rPr>
        <w:t>10 Newton Way</w:t>
      </w:r>
    </w:p>
    <w:p w:rsidR="00067005" w:rsidRPr="00067005" w:rsidRDefault="00067005" w:rsidP="006722CE">
      <w:pPr>
        <w:pStyle w:val="Default"/>
        <w:jc w:val="both"/>
        <w:rPr>
          <w:color w:val="auto"/>
          <w:sz w:val="22"/>
          <w:szCs w:val="22"/>
        </w:rPr>
      </w:pPr>
      <w:r w:rsidRPr="00067005">
        <w:rPr>
          <w:color w:val="auto"/>
          <w:sz w:val="22"/>
          <w:szCs w:val="22"/>
        </w:rPr>
        <w:t xml:space="preserve">Baildon </w:t>
      </w:r>
    </w:p>
    <w:p w:rsidR="00067005" w:rsidRPr="00067005" w:rsidRDefault="00067005" w:rsidP="006722CE">
      <w:pPr>
        <w:pStyle w:val="Default"/>
        <w:jc w:val="both"/>
        <w:rPr>
          <w:color w:val="auto"/>
          <w:sz w:val="22"/>
          <w:szCs w:val="22"/>
        </w:rPr>
      </w:pPr>
      <w:r w:rsidRPr="00067005">
        <w:rPr>
          <w:color w:val="auto"/>
          <w:sz w:val="22"/>
          <w:szCs w:val="22"/>
        </w:rPr>
        <w:t>Shipley</w:t>
      </w:r>
    </w:p>
    <w:p w:rsidR="002E1570" w:rsidRPr="00067005" w:rsidRDefault="00067005" w:rsidP="006722CE">
      <w:pPr>
        <w:pStyle w:val="Default"/>
        <w:jc w:val="both"/>
        <w:rPr>
          <w:color w:val="auto"/>
          <w:sz w:val="22"/>
          <w:szCs w:val="22"/>
        </w:rPr>
      </w:pPr>
      <w:r w:rsidRPr="00067005">
        <w:rPr>
          <w:color w:val="auto"/>
          <w:sz w:val="22"/>
          <w:szCs w:val="22"/>
        </w:rPr>
        <w:t>BD175NH</w:t>
      </w:r>
      <w:r w:rsidR="002E1570" w:rsidRPr="00067005">
        <w:rPr>
          <w:color w:val="auto"/>
          <w:sz w:val="22"/>
          <w:szCs w:val="22"/>
        </w:rPr>
        <w:t xml:space="preserve"> </w:t>
      </w:r>
    </w:p>
    <w:p w:rsidR="009472A9" w:rsidRPr="00B15B7F" w:rsidRDefault="00E77E8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722CE">
      <w:pPr>
        <w:spacing w:after="120" w:line="240" w:lineRule="auto"/>
        <w:jc w:val="both"/>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067005" w:rsidRPr="00067005" w:rsidRDefault="00067005" w:rsidP="006722CE">
      <w:pPr>
        <w:pStyle w:val="Default"/>
        <w:jc w:val="both"/>
        <w:rPr>
          <w:color w:val="auto"/>
          <w:sz w:val="22"/>
          <w:szCs w:val="22"/>
        </w:rPr>
      </w:pPr>
      <w:r w:rsidRPr="00067005">
        <w:rPr>
          <w:color w:val="auto"/>
          <w:sz w:val="22"/>
          <w:szCs w:val="22"/>
        </w:rPr>
        <w:t>Baildon Medical Practice</w:t>
      </w:r>
    </w:p>
    <w:p w:rsidR="00067005" w:rsidRPr="00067005" w:rsidRDefault="00067005" w:rsidP="006722CE">
      <w:pPr>
        <w:pStyle w:val="Default"/>
        <w:jc w:val="both"/>
        <w:rPr>
          <w:color w:val="auto"/>
          <w:sz w:val="22"/>
          <w:szCs w:val="22"/>
        </w:rPr>
      </w:pPr>
      <w:r w:rsidRPr="00067005">
        <w:rPr>
          <w:color w:val="auto"/>
          <w:sz w:val="22"/>
          <w:szCs w:val="22"/>
        </w:rPr>
        <w:t>10 Newton Way</w:t>
      </w:r>
    </w:p>
    <w:p w:rsidR="00067005" w:rsidRPr="00067005" w:rsidRDefault="00067005" w:rsidP="006722CE">
      <w:pPr>
        <w:pStyle w:val="Default"/>
        <w:jc w:val="both"/>
        <w:rPr>
          <w:color w:val="auto"/>
          <w:sz w:val="22"/>
          <w:szCs w:val="22"/>
        </w:rPr>
      </w:pPr>
      <w:r w:rsidRPr="00067005">
        <w:rPr>
          <w:color w:val="auto"/>
          <w:sz w:val="22"/>
          <w:szCs w:val="22"/>
        </w:rPr>
        <w:lastRenderedPageBreak/>
        <w:t xml:space="preserve">Baildon </w:t>
      </w:r>
    </w:p>
    <w:p w:rsidR="00067005" w:rsidRPr="00067005" w:rsidRDefault="00067005" w:rsidP="006722CE">
      <w:pPr>
        <w:pStyle w:val="Default"/>
        <w:jc w:val="both"/>
        <w:rPr>
          <w:color w:val="auto"/>
          <w:sz w:val="22"/>
          <w:szCs w:val="22"/>
        </w:rPr>
      </w:pPr>
      <w:r w:rsidRPr="00067005">
        <w:rPr>
          <w:color w:val="auto"/>
          <w:sz w:val="22"/>
          <w:szCs w:val="22"/>
        </w:rPr>
        <w:t>Shipley</w:t>
      </w:r>
    </w:p>
    <w:p w:rsidR="00067005" w:rsidRPr="00067005" w:rsidRDefault="00067005" w:rsidP="006722CE">
      <w:pPr>
        <w:pStyle w:val="Default"/>
        <w:jc w:val="both"/>
        <w:rPr>
          <w:color w:val="auto"/>
          <w:sz w:val="22"/>
          <w:szCs w:val="22"/>
        </w:rPr>
      </w:pPr>
      <w:r w:rsidRPr="00067005">
        <w:rPr>
          <w:color w:val="auto"/>
          <w:sz w:val="22"/>
          <w:szCs w:val="22"/>
        </w:rPr>
        <w:t xml:space="preserve">BD175NH </w:t>
      </w:r>
    </w:p>
    <w:p w:rsidR="00063FAC" w:rsidRDefault="00063FAC" w:rsidP="006722CE">
      <w:pPr>
        <w:spacing w:after="120" w:line="240" w:lineRule="auto"/>
        <w:jc w:val="both"/>
        <w:outlineLvl w:val="1"/>
        <w:rPr>
          <w:rFonts w:ascii="Arial" w:eastAsia="Times New Roman" w:hAnsi="Arial" w:cs="Arial"/>
          <w:lang w:eastAsia="en-GB"/>
        </w:rPr>
      </w:pPr>
    </w:p>
    <w:p w:rsidR="00D75A97" w:rsidRPr="00321FA3" w:rsidRDefault="00E73961" w:rsidP="006722CE">
      <w:pPr>
        <w:spacing w:after="120" w:line="240" w:lineRule="auto"/>
        <w:jc w:val="both"/>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6722CE">
      <w:pPr>
        <w:spacing w:before="100" w:beforeAutospacing="1" w:after="100" w:afterAutospacing="1" w:line="240" w:lineRule="auto"/>
        <w:jc w:val="both"/>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6722CE">
      <w:pPr>
        <w:spacing w:before="100" w:beforeAutospacing="1" w:after="100" w:afterAutospacing="1" w:line="240" w:lineRule="auto"/>
        <w:jc w:val="both"/>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Trust, or about the way their records have been managed, should contact the </w:t>
      </w:r>
      <w:hyperlink r:id="rId15"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6722CE">
      <w:pPr>
        <w:spacing w:before="100" w:beforeAutospacing="1" w:after="100" w:afterAutospacing="1" w:line="288" w:lineRule="atLeast"/>
        <w:jc w:val="both"/>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6" w:history="1">
        <w:r w:rsidR="002E1570" w:rsidRPr="00321FA3">
          <w:rPr>
            <w:rStyle w:val="Hyperlink"/>
            <w:rFonts w:ascii="Arial" w:eastAsia="Times New Roman" w:hAnsi="Arial" w:cs="Arial"/>
            <w:lang w:eastAsia="en-GB"/>
          </w:rPr>
          <w:t>www.ico.gov.uk</w:t>
        </w:r>
      </w:hyperlink>
    </w:p>
    <w:p w:rsidR="00E77E85" w:rsidRPr="00B15B7F" w:rsidRDefault="00E77E85" w:rsidP="006722CE">
      <w:pPr>
        <w:spacing w:before="100" w:beforeAutospacing="1" w:after="100" w:afterAutospacing="1" w:line="288" w:lineRule="atLeast"/>
        <w:jc w:val="both"/>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6722CE">
      <w:pPr>
        <w:spacing w:before="100" w:beforeAutospacing="1" w:after="100" w:afterAutospacing="1" w:line="240" w:lineRule="auto"/>
        <w:jc w:val="both"/>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6722CE">
      <w:pPr>
        <w:spacing w:after="0" w:line="240" w:lineRule="auto"/>
        <w:jc w:val="both"/>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722CE">
      <w:pPr>
        <w:spacing w:line="240" w:lineRule="auto"/>
        <w:jc w:val="both"/>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6722CE">
          <w:rPr>
            <w:noProof/>
          </w:rPr>
          <w:t>3</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67005"/>
    <w:rsid w:val="000C17BE"/>
    <w:rsid w:val="000F1AD4"/>
    <w:rsid w:val="001F4181"/>
    <w:rsid w:val="00274828"/>
    <w:rsid w:val="00290715"/>
    <w:rsid w:val="002E1570"/>
    <w:rsid w:val="00310B91"/>
    <w:rsid w:val="00321FA3"/>
    <w:rsid w:val="0035515D"/>
    <w:rsid w:val="003641D9"/>
    <w:rsid w:val="003B552C"/>
    <w:rsid w:val="003B7204"/>
    <w:rsid w:val="003B742E"/>
    <w:rsid w:val="00454D33"/>
    <w:rsid w:val="00492AD9"/>
    <w:rsid w:val="00505EE7"/>
    <w:rsid w:val="005D27A9"/>
    <w:rsid w:val="005E1910"/>
    <w:rsid w:val="005F0B40"/>
    <w:rsid w:val="00636D4A"/>
    <w:rsid w:val="00640A72"/>
    <w:rsid w:val="00646012"/>
    <w:rsid w:val="006722CE"/>
    <w:rsid w:val="006A0177"/>
    <w:rsid w:val="006A37E0"/>
    <w:rsid w:val="0076221B"/>
    <w:rsid w:val="00844538"/>
    <w:rsid w:val="00877C3D"/>
    <w:rsid w:val="008B2E5A"/>
    <w:rsid w:val="008C3D4B"/>
    <w:rsid w:val="008C5045"/>
    <w:rsid w:val="009472A9"/>
    <w:rsid w:val="009474E3"/>
    <w:rsid w:val="00974AC4"/>
    <w:rsid w:val="00A1070A"/>
    <w:rsid w:val="00A93E1F"/>
    <w:rsid w:val="00AA038A"/>
    <w:rsid w:val="00AA6853"/>
    <w:rsid w:val="00AC38D3"/>
    <w:rsid w:val="00B15B7F"/>
    <w:rsid w:val="00B40F53"/>
    <w:rsid w:val="00B642C5"/>
    <w:rsid w:val="00B83611"/>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15" Type="http://schemas.openxmlformats.org/officeDocument/2006/relationships/hyperlink" Target="http://www.gwh.nhs.uk/patients-and-visitors/patient-advice-and-liaison-service-(pals)/" TargetMode="External"/><Relationship Id="rId10" Type="http://schemas.openxmlformats.org/officeDocument/2006/relationships/hyperlink" Target="https://digital.nhs.uk/media/329/Care-Record-Guarantee/pdf/Care_Record_Guarante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D63E-EFCB-4C3F-8647-ED28FA86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RiceD</cp:lastModifiedBy>
  <cp:revision>2</cp:revision>
  <cp:lastPrinted>2018-03-06T13:28:00Z</cp:lastPrinted>
  <dcterms:created xsi:type="dcterms:W3CDTF">2019-06-17T08:40:00Z</dcterms:created>
  <dcterms:modified xsi:type="dcterms:W3CDTF">2019-06-17T08:40:00Z</dcterms:modified>
</cp:coreProperties>
</file>